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28FA" w14:textId="24EF4487" w:rsidR="008F26A1" w:rsidRDefault="001A4599" w:rsidP="00634AF8">
      <w:pPr>
        <w:rPr>
          <w:b/>
          <w:bCs/>
        </w:rPr>
      </w:pPr>
      <w:r>
        <w:rPr>
          <w:b/>
          <w:bCs/>
        </w:rPr>
        <w:fldChar w:fldCharType="begin"/>
      </w:r>
      <w:r w:rsidR="00BF3E0A">
        <w:rPr>
          <w:b/>
          <w:bCs/>
        </w:rPr>
        <w:instrText>HYPERLINK "https://www.mercedezroberge.ca/en-prevision-des-elections-de-2026-informations-sur-les-changements-a-la-loi-electorale/"</w:instrText>
      </w:r>
      <w:r w:rsidR="00BF3E0A">
        <w:rPr>
          <w:b/>
          <w:bCs/>
        </w:rPr>
      </w:r>
      <w:r>
        <w:rPr>
          <w:b/>
          <w:bCs/>
        </w:rPr>
        <w:fldChar w:fldCharType="separate"/>
      </w:r>
      <w:r w:rsidR="008F26A1" w:rsidRPr="001A4599">
        <w:rPr>
          <w:rStyle w:val="Hyperlien"/>
          <w:b/>
          <w:bCs/>
        </w:rPr>
        <w:t>En prévision des élections de 2026: informations sur les chang</w:t>
      </w:r>
      <w:r w:rsidR="008F26A1" w:rsidRPr="001A4599">
        <w:rPr>
          <w:rStyle w:val="Hyperlien"/>
          <w:b/>
          <w:bCs/>
        </w:rPr>
        <w:t>ements à la Loi électorale</w:t>
      </w:r>
      <w:r>
        <w:rPr>
          <w:b/>
          <w:bCs/>
        </w:rPr>
        <w:fldChar w:fldCharType="end"/>
      </w:r>
    </w:p>
    <w:p w14:paraId="43179E68" w14:textId="45EA45ED" w:rsidR="001A4599" w:rsidRPr="001A4599" w:rsidRDefault="001A4599" w:rsidP="00634AF8">
      <w:r w:rsidRPr="001A4599">
        <w:t xml:space="preserve">Document diffusé le </w:t>
      </w:r>
      <w:r>
        <w:t>3</w:t>
      </w:r>
      <w:r w:rsidRPr="001A4599">
        <w:t xml:space="preserve"> janvier 2026</w:t>
      </w:r>
      <w:r w:rsidR="00427C34">
        <w:t xml:space="preserve"> par Mercédez Roberge</w:t>
      </w:r>
    </w:p>
    <w:p w14:paraId="7DCBD29F" w14:textId="77777777" w:rsidR="001A4599" w:rsidRDefault="001A4599" w:rsidP="001A4599">
      <w:pPr>
        <w:jc w:val="center"/>
        <w:rPr>
          <w:b/>
          <w:bCs/>
        </w:rPr>
      </w:pPr>
      <w:r>
        <w:rPr>
          <w:b/>
          <w:bCs/>
        </w:rPr>
        <w:t>_______________</w:t>
      </w:r>
    </w:p>
    <w:p w14:paraId="06DBB031" w14:textId="77777777" w:rsidR="008F26A1" w:rsidRPr="008F26A1" w:rsidRDefault="008F26A1" w:rsidP="008F26A1">
      <w:pPr>
        <w:rPr>
          <w:b/>
          <w:bCs/>
        </w:rPr>
      </w:pPr>
      <w:r w:rsidRPr="008F26A1">
        <w:rPr>
          <w:b/>
          <w:bCs/>
        </w:rPr>
        <w:t xml:space="preserve">Le </w:t>
      </w:r>
      <w:hyperlink r:id="rId11" w:history="1">
        <w:r w:rsidRPr="008F26A1">
          <w:rPr>
            <w:rStyle w:val="Hyperlien"/>
            <w:b/>
            <w:bCs/>
          </w:rPr>
          <w:t>Devoir du 3 janvier 2026</w:t>
        </w:r>
      </w:hyperlink>
      <w:r w:rsidRPr="008F26A1">
        <w:rPr>
          <w:b/>
          <w:bCs/>
        </w:rPr>
        <w:t xml:space="preserve"> (section Idées de l'édition papier et web) a publié mon texte intitulé </w:t>
      </w:r>
      <w:hyperlink r:id="rId12" w:history="1">
        <w:r w:rsidRPr="008F26A1">
          <w:rPr>
            <w:rStyle w:val="Hyperlien"/>
            <w:b/>
            <w:bCs/>
          </w:rPr>
          <w:t>"2026 : une année électorale qui commence mal".</w:t>
        </w:r>
      </w:hyperlink>
    </w:p>
    <w:p w14:paraId="3502FDE6" w14:textId="77777777" w:rsidR="008F26A1" w:rsidRPr="008F26A1" w:rsidRDefault="008F26A1" w:rsidP="008F26A1">
      <w:pPr>
        <w:rPr>
          <w:b/>
          <w:bCs/>
        </w:rPr>
      </w:pPr>
      <w:r w:rsidRPr="008F26A1">
        <w:rPr>
          <w:b/>
          <w:bCs/>
        </w:rPr>
        <w:t>Le texte qui suit présente davantage de détails, surtout quant aux règles de la période préélectorale des tiers. S'agissant d'une première version, il sera bonifié prochainement.</w:t>
      </w:r>
    </w:p>
    <w:p w14:paraId="6E2C080F" w14:textId="1E9DD4AE" w:rsidR="008F26A1" w:rsidRDefault="008F26A1" w:rsidP="008F26A1">
      <w:pPr>
        <w:jc w:val="center"/>
        <w:rPr>
          <w:b/>
          <w:bCs/>
        </w:rPr>
      </w:pPr>
      <w:r>
        <w:rPr>
          <w:b/>
          <w:bCs/>
        </w:rPr>
        <w:t>_______________</w:t>
      </w:r>
    </w:p>
    <w:p w14:paraId="3EB0CF60" w14:textId="4F133F9C" w:rsidR="00634AF8" w:rsidRPr="00634AF8" w:rsidRDefault="00634AF8" w:rsidP="00634AF8">
      <w:r w:rsidRPr="00634AF8">
        <w:t xml:space="preserve">Le 30 mai 2025, l'Assemblée nationale a sanctionné le </w:t>
      </w:r>
      <w:hyperlink r:id="rId13" w:history="1">
        <w:r w:rsidRPr="00634AF8">
          <w:rPr>
            <w:rStyle w:val="Hyperlien"/>
            <w:i/>
            <w:iCs/>
          </w:rPr>
          <w:t>projet de loi 98 : Loi modifiant la Loi électorale principalement afin de préserver l’intégrité du processus électoral</w:t>
        </w:r>
      </w:hyperlink>
      <w:r w:rsidRPr="00634AF8">
        <w:t>.</w:t>
      </w:r>
    </w:p>
    <w:p w14:paraId="747CFC9F" w14:textId="5CCA5CE4" w:rsidR="0069558A" w:rsidRPr="00CF07DE" w:rsidRDefault="00634AF8" w:rsidP="0069558A">
      <w:r w:rsidRPr="00634AF8">
        <w:t xml:space="preserve">Les premiers changements seront applicables </w:t>
      </w:r>
      <w:r w:rsidRPr="00CF07DE">
        <w:t>dès</w:t>
      </w:r>
      <w:r w:rsidRPr="00634AF8">
        <w:t xml:space="preserve"> le 1er janvier 2026, notamment quant à la création d'un nouveau statut, le tiers, et d'une nouvelle étape dans le calendrier électoral, </w:t>
      </w:r>
      <w:r w:rsidRPr="00634AF8">
        <w:rPr>
          <w:b/>
          <w:bCs/>
        </w:rPr>
        <w:t>la période préélectorale.</w:t>
      </w:r>
      <w:r w:rsidRPr="00634AF8">
        <w:t xml:space="preserve"> </w:t>
      </w:r>
      <w:r w:rsidR="0069558A" w:rsidRPr="00CF07DE">
        <w:t>Si vous n’êtes pas au courant</w:t>
      </w:r>
      <w:r w:rsidR="00BB5F67">
        <w:t>,</w:t>
      </w:r>
      <w:r w:rsidR="0069558A" w:rsidRPr="00CF07DE">
        <w:t xml:space="preserve"> sachez que ce n’est pas votre faute, car bien peu d’informations ont circulé. Non seulement la </w:t>
      </w:r>
      <w:hyperlink r:id="rId14" w:history="1">
        <w:r w:rsidR="0069558A" w:rsidRPr="00CF07DE">
          <w:rPr>
            <w:rStyle w:val="Hyperlien"/>
          </w:rPr>
          <w:t>Loi électorale</w:t>
        </w:r>
      </w:hyperlink>
      <w:r w:rsidR="0069558A" w:rsidRPr="00CF07DE">
        <w:t xml:space="preserve"> québécoise n’est pas à jour, mais le Directeur général des élections du Québec (DGEQ) n’a discrètement débuté la mise en ligne des premières explications que le 18 décembre.</w:t>
      </w:r>
    </w:p>
    <w:p w14:paraId="4DA01285" w14:textId="60C25AE5" w:rsidR="0069558A" w:rsidRPr="00CF07DE" w:rsidRDefault="0069558A" w:rsidP="0069558A">
      <w:pPr>
        <w:rPr>
          <w:b/>
          <w:bCs/>
        </w:rPr>
      </w:pPr>
      <w:r w:rsidRPr="00CF07DE">
        <w:rPr>
          <w:b/>
          <w:bCs/>
        </w:rPr>
        <w:t>Loi électorale : de nouvelles règles applicables dès 2026 qui limiteront encore plus la liberté d’expression</w:t>
      </w:r>
    </w:p>
    <w:p w14:paraId="20E0AC8F" w14:textId="43EC911D" w:rsidR="006B19A2" w:rsidRPr="00CF07DE" w:rsidRDefault="0069558A" w:rsidP="00851EE6">
      <w:pPr>
        <w:widowControl w:val="0"/>
        <w:autoSpaceDE w:val="0"/>
        <w:autoSpaceDN w:val="0"/>
        <w:spacing w:before="0" w:beforeAutospacing="0" w:after="0" w:afterAutospacing="0"/>
        <w:rPr>
          <w:rFonts w:cs="Nirmala UI Semilight"/>
          <w:i/>
          <w:color w:val="262626" w:themeColor="text1" w:themeTint="D9"/>
        </w:rPr>
      </w:pPr>
      <w:r w:rsidRPr="00CF07DE">
        <w:t>Durant une campagne électorale, la Loi limite déjà la liberté d’expression de la société civile en interdisant de dépenser pour diffuser du contenu directement ou indirectement partial, à moins d’être agentes et agents officiels d’un parti ou d’une personne candidate.</w:t>
      </w:r>
      <w:r w:rsidR="00D75F3D" w:rsidRPr="00CF07DE">
        <w:t xml:space="preserve"> </w:t>
      </w:r>
      <w:r w:rsidRPr="00CF07DE">
        <w:t xml:space="preserve">Par exemple, durant </w:t>
      </w:r>
      <w:r w:rsidR="00D75F3D" w:rsidRPr="00CF07DE">
        <w:t xml:space="preserve">les 4-5 semaines que dure </w:t>
      </w:r>
      <w:r w:rsidRPr="00CF07DE">
        <w:t xml:space="preserve">la campagne électorale, </w:t>
      </w:r>
      <w:r w:rsidR="00D75F3D" w:rsidRPr="00CF07DE">
        <w:t xml:space="preserve">un groupe communautaire voulant </w:t>
      </w:r>
      <w:r w:rsidRPr="00CF07DE">
        <w:t xml:space="preserve">continuer d’intervenir selon sa mission sociale </w:t>
      </w:r>
      <w:r w:rsidR="00D75F3D" w:rsidRPr="00CF07DE">
        <w:t xml:space="preserve">doit user de prudence s’il diffuse </w:t>
      </w:r>
      <w:r w:rsidRPr="00CF07DE">
        <w:t>des analyses de plateformes électorales ou une position</w:t>
      </w:r>
      <w:r w:rsidR="00D75F3D" w:rsidRPr="00CF07DE">
        <w:t xml:space="preserve"> sur un enjeu. Il risque </w:t>
      </w:r>
      <w:r w:rsidR="00885A37" w:rsidRPr="00CF07DE">
        <w:t xml:space="preserve">en effet </w:t>
      </w:r>
      <w:r w:rsidR="00D75F3D" w:rsidRPr="00CF07DE">
        <w:t>des amendes s’il</w:t>
      </w:r>
      <w:r w:rsidR="00885A37" w:rsidRPr="00CF07DE">
        <w:t xml:space="preserve"> effectue une</w:t>
      </w:r>
      <w:r w:rsidR="00D75F3D" w:rsidRPr="00CF07DE">
        <w:t xml:space="preserve"> </w:t>
      </w:r>
      <w:r w:rsidR="00851EE6" w:rsidRPr="00CF07DE">
        <w:t xml:space="preserve">dépense pour </w:t>
      </w:r>
      <w:r w:rsidR="00D75F3D" w:rsidRPr="00CF07DE">
        <w:t>diffuse</w:t>
      </w:r>
      <w:r w:rsidR="00851EE6" w:rsidRPr="00CF07DE">
        <w:t>r</w:t>
      </w:r>
      <w:r w:rsidR="00D75F3D" w:rsidRPr="00CF07DE">
        <w:t xml:space="preserve"> du contenu pouvant être considéré c</w:t>
      </w:r>
      <w:r w:rsidRPr="00CF07DE">
        <w:t>o</w:t>
      </w:r>
      <w:r w:rsidR="00D75F3D" w:rsidRPr="00CF07DE">
        <w:t>mme favorisant ou défavorisant</w:t>
      </w:r>
      <w:r w:rsidR="00851EE6" w:rsidRPr="00CF07DE">
        <w:t xml:space="preserve"> directement ou indirectement, l’élection d’une personne candidate ou d’un parti.</w:t>
      </w:r>
      <w:r w:rsidR="00A20262">
        <w:rPr>
          <w:rStyle w:val="Appelnotedebasdep"/>
        </w:rPr>
        <w:footnoteReference w:id="1"/>
      </w:r>
      <w:r w:rsidR="00851EE6" w:rsidRPr="00CF07DE">
        <w:t xml:space="preserve"> </w:t>
      </w:r>
    </w:p>
    <w:p w14:paraId="1BD70688" w14:textId="13E1AAD9" w:rsidR="00394585" w:rsidRPr="00CF07DE" w:rsidRDefault="004D5B2A" w:rsidP="0069558A">
      <w:r w:rsidRPr="00CF07DE">
        <w:t>Or, les nouvelles règles allongeront la durée d’application des limites à la liberté d’expression en instaurant une nouvelle étape, nommée « </w:t>
      </w:r>
      <w:r w:rsidR="0069558A" w:rsidRPr="00CF07DE">
        <w:t>période préélectorale</w:t>
      </w:r>
      <w:r w:rsidRPr="00CF07DE">
        <w:t xml:space="preserve"> ». </w:t>
      </w:r>
      <w:r w:rsidR="00394585" w:rsidRPr="00CF07DE">
        <w:t xml:space="preserve">Celle-ci existera sous deux formes bien différentes : la période électorale des partis politiques, </w:t>
      </w:r>
      <w:r w:rsidR="00597C0C" w:rsidRPr="00634AF8">
        <w:t>du 1er juillet au premier jour de la campagne électorale</w:t>
      </w:r>
      <w:r w:rsidR="00597C0C" w:rsidRPr="00CF07DE">
        <w:t xml:space="preserve">, soit pour </w:t>
      </w:r>
      <w:r w:rsidR="005C1A8E" w:rsidRPr="00CF07DE">
        <w:t>deux</w:t>
      </w:r>
      <w:r w:rsidR="00394585" w:rsidRPr="00CF07DE">
        <w:t xml:space="preserve"> mois</w:t>
      </w:r>
      <w:r w:rsidR="00597C0C" w:rsidRPr="00CF07DE">
        <w:t xml:space="preserve">, </w:t>
      </w:r>
      <w:r w:rsidR="00394585" w:rsidRPr="00CF07DE">
        <w:t xml:space="preserve">et la période électorale des tiers, qui elle durera </w:t>
      </w:r>
      <w:r w:rsidR="005C1A8E" w:rsidRPr="00634AF8">
        <w:t>huit mois, soit</w:t>
      </w:r>
      <w:r w:rsidR="00597C0C" w:rsidRPr="00CF07DE">
        <w:t xml:space="preserve"> à compter</w:t>
      </w:r>
      <w:r w:rsidR="005C1A8E" w:rsidRPr="00634AF8">
        <w:t xml:space="preserve"> du 1er janvier</w:t>
      </w:r>
      <w:r w:rsidR="00597C0C" w:rsidRPr="00CF07DE">
        <w:t>.</w:t>
      </w:r>
    </w:p>
    <w:p w14:paraId="1A2EA173" w14:textId="52F6071D" w:rsidR="00C71D61" w:rsidRPr="00CF07DE" w:rsidRDefault="00373B41" w:rsidP="0069558A">
      <w:pPr>
        <w:rPr>
          <w:b/>
          <w:bCs/>
        </w:rPr>
      </w:pPr>
      <w:r w:rsidRPr="00CF07DE">
        <w:rPr>
          <w:b/>
          <w:bCs/>
        </w:rPr>
        <w:t xml:space="preserve">Une </w:t>
      </w:r>
      <w:r w:rsidR="00C71D61" w:rsidRPr="00CF07DE">
        <w:rPr>
          <w:b/>
          <w:bCs/>
        </w:rPr>
        <w:t>période électorale des tiers?</w:t>
      </w:r>
      <w:r w:rsidR="008D361E" w:rsidRPr="00CF07DE">
        <w:rPr>
          <w:b/>
          <w:bCs/>
        </w:rPr>
        <w:t xml:space="preserve"> C’est quoi un tiers?</w:t>
      </w:r>
    </w:p>
    <w:p w14:paraId="4209BBA3" w14:textId="77777777" w:rsidR="00116693" w:rsidRDefault="00373B41" w:rsidP="00116693">
      <w:r w:rsidRPr="00CF07DE">
        <w:lastRenderedPageBreak/>
        <w:t xml:space="preserve">Le DGEQ explique qu’un tiers c’est </w:t>
      </w:r>
      <w:r w:rsidR="0069558A" w:rsidRPr="00CF07DE">
        <w:t>« </w:t>
      </w:r>
      <w:hyperlink r:id="rId15" w:history="1">
        <w:r w:rsidR="0069558A" w:rsidRPr="00CF07DE">
          <w:rPr>
            <w:rStyle w:val="Hyperlien"/>
          </w:rPr>
          <w:t>toute personne, entreprise ou organisation </w:t>
        </w:r>
      </w:hyperlink>
      <w:r w:rsidR="0069558A" w:rsidRPr="00CF07DE">
        <w:t xml:space="preserve">» qui, sans vouloir se faire élire ni être agentes ou agents officiels, diffusera </w:t>
      </w:r>
      <w:r w:rsidR="0069558A" w:rsidRPr="00CF07DE">
        <w:rPr>
          <w:rFonts w:cs="Nirmala UI Semilight"/>
          <w:color w:val="262626" w:themeColor="text1" w:themeTint="D9"/>
        </w:rPr>
        <w:t xml:space="preserve">un message </w:t>
      </w:r>
      <w:r w:rsidR="0069558A" w:rsidRPr="00CF07DE">
        <w:t xml:space="preserve">référant </w:t>
      </w:r>
      <w:r w:rsidR="0069558A" w:rsidRPr="0054210A">
        <w:rPr>
          <w:u w:val="single"/>
        </w:rPr>
        <w:t>directement</w:t>
      </w:r>
      <w:r w:rsidR="00C71D61" w:rsidRPr="00CF07DE">
        <w:t xml:space="preserve"> </w:t>
      </w:r>
      <w:r w:rsidR="0069558A" w:rsidRPr="00CF07DE">
        <w:t>« </w:t>
      </w:r>
      <w:hyperlink r:id="rId16" w:history="1">
        <w:r w:rsidR="0069558A" w:rsidRPr="00CF07DE">
          <w:rPr>
            <w:rStyle w:val="Hyperlien"/>
          </w:rPr>
          <w:t>à un enjeu électoral, un parti, une candidate ou un candidat </w:t>
        </w:r>
      </w:hyperlink>
      <w:r w:rsidR="0069558A" w:rsidRPr="00CF07DE">
        <w:t>»</w:t>
      </w:r>
      <w:r w:rsidR="00C71D61" w:rsidRPr="00CF07DE">
        <w:t>, que ce soit positivement ou négativement.</w:t>
      </w:r>
      <w:r w:rsidR="000F030D" w:rsidRPr="00CF07DE">
        <w:t xml:space="preserve"> </w:t>
      </w:r>
    </w:p>
    <w:p w14:paraId="424F806B" w14:textId="2878D279" w:rsidR="0006040A" w:rsidRPr="00CF07DE" w:rsidRDefault="0006040A" w:rsidP="0006040A">
      <w:r w:rsidRPr="00CF07DE">
        <w:t xml:space="preserve">Un tiers devra s’enregistrer auprès du DGEQ s’il dépense, </w:t>
      </w:r>
      <w:r w:rsidRPr="00CF07DE">
        <w:rPr>
          <w:rFonts w:cs="Nirmala UI Semilight"/>
          <w:color w:val="262626" w:themeColor="text1" w:themeTint="D9"/>
        </w:rPr>
        <w:t>pour toute la durée de la période préélectorale,</w:t>
      </w:r>
      <w:r w:rsidRPr="00CF07DE">
        <w:t xml:space="preserve"> plus de </w:t>
      </w:r>
      <w:r w:rsidRPr="00CF07DE">
        <w:rPr>
          <w:rFonts w:cs="Nirmala UI Semilight"/>
          <w:color w:val="262626" w:themeColor="text1" w:themeTint="D9"/>
        </w:rPr>
        <w:t xml:space="preserve">1000$ pour produire et diffuser de tels </w:t>
      </w:r>
      <w:r w:rsidRPr="00CF07DE">
        <w:t>messages, si ceux-ci répondent à la définition d’une « publicité préélectorale partisane ».</w:t>
      </w:r>
    </w:p>
    <w:p w14:paraId="78F04431" w14:textId="403E248D" w:rsidR="001D4FC4" w:rsidRPr="00CF07DE" w:rsidRDefault="0006040A" w:rsidP="0006040A">
      <w:r w:rsidRPr="00CF07DE">
        <w:t>Or, la définition d’une publicité est très large, car</w:t>
      </w:r>
      <w:r w:rsidR="00BB5F67">
        <w:t>,</w:t>
      </w:r>
      <w:r w:rsidRPr="00CF07DE">
        <w:t xml:space="preserve"> pour le DGEQ</w:t>
      </w:r>
      <w:r w:rsidR="00BB5F67">
        <w:t>,</w:t>
      </w:r>
      <w:r w:rsidRPr="00CF07DE">
        <w:t xml:space="preserve"> il ne s’agit pas seulement des panneaux d’affichage, des dépliants, de vidéo et de publications payantes sur les médias sociaux ou traditionnels. </w:t>
      </w:r>
    </w:p>
    <w:p w14:paraId="0251A8A7" w14:textId="04A33E85" w:rsidR="008F26A1" w:rsidRPr="00CF07DE" w:rsidRDefault="0006040A" w:rsidP="008F26A1">
      <w:pPr>
        <w:widowControl w:val="0"/>
        <w:autoSpaceDE w:val="0"/>
        <w:autoSpaceDN w:val="0"/>
        <w:spacing w:before="0" w:beforeAutospacing="0" w:after="0" w:afterAutospacing="0"/>
        <w:rPr>
          <w:rFonts w:cs="Nirmala UI Semilight"/>
          <w:i/>
          <w:color w:val="262626" w:themeColor="text1" w:themeTint="D9"/>
        </w:rPr>
      </w:pPr>
      <w:r w:rsidRPr="00CF07DE">
        <w:t xml:space="preserve">Selon le DGEQ, une publicité </w:t>
      </w:r>
      <w:proofErr w:type="gramStart"/>
      <w:r w:rsidRPr="00CF07DE">
        <w:t>c’est</w:t>
      </w:r>
      <w:proofErr w:type="gramEnd"/>
      <w:r w:rsidRPr="00CF07DE">
        <w:t xml:space="preserve"> aussi des messages par téléphone, par texto, par courriels ou par d’autres moyens électroniques</w:t>
      </w:r>
      <w:r w:rsidR="001D4FC4" w:rsidRPr="00CF07DE">
        <w:t xml:space="preserve">, alors qu’il s’agit de communications qui n’ont rien à voir avec une publicité au sens commun du terme. </w:t>
      </w:r>
      <w:r w:rsidR="001D4FC4" w:rsidRPr="00CF07DE">
        <w:rPr>
          <w:rFonts w:cs="Nirmala UI Semilight"/>
          <w:color w:val="262626" w:themeColor="text1" w:themeTint="D9"/>
        </w:rPr>
        <w:t>Cette définition abusive d’une publicité</w:t>
      </w:r>
      <w:r w:rsidR="001D4FC4" w:rsidRPr="00CF07DE">
        <w:t xml:space="preserve"> pourrait obliger u</w:t>
      </w:r>
      <w:r w:rsidR="001D4FC4" w:rsidRPr="00CF07DE">
        <w:rPr>
          <w:rFonts w:cs="Nirmala UI Semilight"/>
          <w:color w:val="262626" w:themeColor="text1" w:themeTint="D9"/>
        </w:rPr>
        <w:t>n grand nombre de groupes communautaires à s’enregistrer comme tiers, car 1000$ pour 8 mois sera bien vite atteint, que ce soit par des frais externes ou par des frais internes, comme du salaire.</w:t>
      </w:r>
      <w:r w:rsidR="008F26A1">
        <w:rPr>
          <w:rFonts w:cs="Nirmala UI Semilight"/>
          <w:color w:val="262626" w:themeColor="text1" w:themeTint="D9"/>
        </w:rPr>
        <w:t xml:space="preserve"> </w:t>
      </w:r>
      <w:r w:rsidR="00A20262">
        <w:rPr>
          <w:rStyle w:val="Appelnotedebasdep"/>
          <w:rFonts w:cs="Nirmala UI Semilight"/>
          <w:color w:val="262626" w:themeColor="text1" w:themeTint="D9"/>
        </w:rPr>
        <w:footnoteReference w:id="2"/>
      </w:r>
    </w:p>
    <w:p w14:paraId="4372B1DA" w14:textId="5CED36EA" w:rsidR="001D4FC4" w:rsidRPr="00CF07DE" w:rsidRDefault="001D4FC4" w:rsidP="001D4FC4">
      <w:pPr>
        <w:rPr>
          <w:rFonts w:cs="Nirmala UI Semilight"/>
          <w:b/>
          <w:bCs/>
          <w:color w:val="262626" w:themeColor="text1" w:themeTint="D9"/>
        </w:rPr>
      </w:pPr>
      <w:r w:rsidRPr="00CF07DE">
        <w:rPr>
          <w:rFonts w:cs="Nirmala UI Semilight"/>
          <w:b/>
          <w:bCs/>
          <w:color w:val="262626" w:themeColor="text1" w:themeTint="D9"/>
        </w:rPr>
        <w:t>Quelles sont les conséquences de s’enregistrer comme tiers?</w:t>
      </w:r>
    </w:p>
    <w:p w14:paraId="6D182753" w14:textId="49C51D85" w:rsidR="007833AC" w:rsidRDefault="001D4FC4" w:rsidP="00F8242C">
      <w:pPr>
        <w:rPr>
          <w:rFonts w:cs="Nirmala UI Semilight"/>
          <w:color w:val="262626" w:themeColor="text1" w:themeTint="D9"/>
        </w:rPr>
      </w:pPr>
      <w:r w:rsidRPr="00CF07DE">
        <w:rPr>
          <w:rFonts w:cs="Nirmala UI Semilight"/>
          <w:color w:val="262626" w:themeColor="text1" w:themeTint="D9"/>
        </w:rPr>
        <w:t>Avant la première diffusion, l</w:t>
      </w:r>
      <w:r w:rsidRPr="00CF07DE">
        <w:t xml:space="preserve">e </w:t>
      </w:r>
      <w:r w:rsidRPr="00CF07DE">
        <w:rPr>
          <w:rFonts w:cs="Nirmala UI Semilight"/>
          <w:color w:val="262626" w:themeColor="text1" w:themeTint="D9"/>
        </w:rPr>
        <w:t>tiers devra demander l’autorisation au DGEQ</w:t>
      </w:r>
      <w:r w:rsidR="007833AC">
        <w:rPr>
          <w:rFonts w:cs="Nirmala UI Semilight"/>
          <w:color w:val="262626" w:themeColor="text1" w:themeTint="D9"/>
        </w:rPr>
        <w:t>, afin d’obtenir un numéro d’autorisation</w:t>
      </w:r>
      <w:r w:rsidRPr="00CF07DE">
        <w:rPr>
          <w:rFonts w:cs="Nirmala UI Semilight"/>
          <w:color w:val="262626" w:themeColor="text1" w:themeTint="D9"/>
        </w:rPr>
        <w:t xml:space="preserve"> et afficher celle-ci comme s’il s’agissait d’affiches électorales : « Ce message est autorisé et payé par … ». </w:t>
      </w:r>
    </w:p>
    <w:p w14:paraId="2B8FEF77" w14:textId="77777777" w:rsidR="007833AC" w:rsidRPr="00CF07DE" w:rsidRDefault="007833AC" w:rsidP="007833AC">
      <w:r w:rsidRPr="00CF07DE">
        <w:t xml:space="preserve">Le guide </w:t>
      </w:r>
      <w:hyperlink r:id="rId17" w:history="1">
        <w:r w:rsidRPr="00CF07DE">
          <w:rPr>
            <w:rStyle w:val="Hyperlien"/>
            <w:i/>
            <w:iCs/>
          </w:rPr>
          <w:t>Dépenses de publicité préélectorale partisane des tiers</w:t>
        </w:r>
      </w:hyperlink>
      <w:r w:rsidRPr="00CF07DE">
        <w:t xml:space="preserve"> </w:t>
      </w:r>
      <w:r w:rsidRPr="00CF07DE">
        <w:rPr>
          <w:rFonts w:cs="Nirmala UI Semilight"/>
          <w:color w:val="262626" w:themeColor="text1" w:themeTint="D9"/>
        </w:rPr>
        <w:t xml:space="preserve">annonce </w:t>
      </w:r>
      <w:r>
        <w:rPr>
          <w:rFonts w:cs="Nirmala UI Semilight"/>
          <w:color w:val="262626" w:themeColor="text1" w:themeTint="D9"/>
        </w:rPr>
        <w:t>l</w:t>
      </w:r>
      <w:r w:rsidRPr="00CF07DE">
        <w:rPr>
          <w:rFonts w:cs="Nirmala UI Semilight"/>
          <w:color w:val="262626" w:themeColor="text1" w:themeTint="D9"/>
        </w:rPr>
        <w:t xml:space="preserve">es formulaires à utiliser, mais ceux-ci ne sont pas disponibles avant le 5 janvier : </w:t>
      </w:r>
    </w:p>
    <w:p w14:paraId="4BE2813F" w14:textId="77777777" w:rsidR="007833AC" w:rsidRPr="00CF07DE" w:rsidRDefault="007833AC" w:rsidP="007833AC">
      <w:pPr>
        <w:pStyle w:val="Corpsdetexte"/>
        <w:numPr>
          <w:ilvl w:val="0"/>
          <w:numId w:val="14"/>
        </w:numPr>
        <w:spacing w:before="140" w:after="140"/>
        <w:rPr>
          <w:rFonts w:ascii="Arial Narrow" w:hAnsi="Arial Narrow"/>
        </w:rPr>
      </w:pPr>
      <w:r w:rsidRPr="00CF07DE">
        <w:rPr>
          <w:rFonts w:ascii="Arial Narrow" w:hAnsi="Arial Narrow" w:cs="Nirmala UI Semilight"/>
          <w:color w:val="262626" w:themeColor="text1" w:themeTint="D9"/>
        </w:rPr>
        <w:t xml:space="preserve">Une organisation voulant faire des </w:t>
      </w:r>
      <w:r w:rsidRPr="00CF07DE">
        <w:rPr>
          <w:rFonts w:ascii="Arial Narrow" w:hAnsi="Arial Narrow"/>
        </w:rPr>
        <w:t>dépenses préélectorales à titre de tiers devra soumettre au DGEQ un « Avis d’intention – Dépenses préélectorales d’un groupe à titre de tiers »</w:t>
      </w:r>
      <w:r w:rsidRPr="00CF07DE">
        <w:rPr>
          <w:rStyle w:val="Titre2Car"/>
          <w:rFonts w:ascii="Arial Narrow" w:hAnsi="Arial Narrow"/>
          <w:sz w:val="24"/>
          <w:szCs w:val="24"/>
        </w:rPr>
        <w:t xml:space="preserve"> </w:t>
      </w:r>
      <w:r w:rsidRPr="00CF07DE">
        <w:rPr>
          <w:rStyle w:val="Appelnotedebasdep"/>
          <w:rFonts w:ascii="Arial Narrow" w:hAnsi="Arial Narrow"/>
        </w:rPr>
        <w:footnoteReference w:id="3"/>
      </w:r>
      <w:r w:rsidRPr="00CF07DE">
        <w:rPr>
          <w:rFonts w:ascii="Arial Narrow" w:hAnsi="Arial Narrow"/>
        </w:rPr>
        <w:t xml:space="preserve"> dans lequel elle devra notamment nommer une répondante ou un répondant, et fournir des informations sur la personne à sa direction.</w:t>
      </w:r>
    </w:p>
    <w:p w14:paraId="4B851FA2" w14:textId="374EF258" w:rsidR="007833AC" w:rsidRPr="00CF07DE" w:rsidRDefault="007833AC" w:rsidP="007833AC">
      <w:pPr>
        <w:pStyle w:val="Corpsdetexte"/>
        <w:numPr>
          <w:ilvl w:val="0"/>
          <w:numId w:val="14"/>
        </w:numPr>
        <w:spacing w:before="140" w:after="140"/>
        <w:rPr>
          <w:rFonts w:ascii="Arial Narrow" w:hAnsi="Arial Narrow"/>
        </w:rPr>
      </w:pPr>
      <w:r w:rsidRPr="00CF07DE">
        <w:rPr>
          <w:rFonts w:ascii="Arial Narrow" w:hAnsi="Arial Narrow" w:cs="Nirmala UI Semilight"/>
          <w:color w:val="262626" w:themeColor="text1" w:themeTint="D9"/>
        </w:rPr>
        <w:t xml:space="preserve">Une personne voulant faire des </w:t>
      </w:r>
      <w:r w:rsidRPr="00CF07DE">
        <w:rPr>
          <w:rFonts w:ascii="Arial Narrow" w:hAnsi="Arial Narrow"/>
        </w:rPr>
        <w:t>dépenses préélectorales à titre de tiers devra quant à elle</w:t>
      </w:r>
      <w:r w:rsidR="00BB5F67">
        <w:rPr>
          <w:rFonts w:ascii="Arial Narrow" w:hAnsi="Arial Narrow"/>
        </w:rPr>
        <w:t>,</w:t>
      </w:r>
      <w:r w:rsidRPr="00CF07DE">
        <w:rPr>
          <w:rFonts w:ascii="Arial Narrow" w:hAnsi="Arial Narrow"/>
        </w:rPr>
        <w:t xml:space="preserve"> soumettre au DGEQ son « Avis d’intention – Dépenses préélectorales d’un tiers – Personne physique »</w:t>
      </w:r>
      <w:r w:rsidRPr="00CF07DE">
        <w:rPr>
          <w:rStyle w:val="Appelnotedebasdep"/>
          <w:rFonts w:ascii="Arial Narrow" w:hAnsi="Arial Narrow"/>
        </w:rPr>
        <w:footnoteReference w:id="4"/>
      </w:r>
      <w:r w:rsidRPr="00CF07DE">
        <w:rPr>
          <w:rFonts w:ascii="Arial Narrow" w:hAnsi="Arial Narrow"/>
        </w:rPr>
        <w:t xml:space="preserve"> et s’identifier comme étant la répondante. </w:t>
      </w:r>
    </w:p>
    <w:p w14:paraId="4D1B6A35" w14:textId="77777777" w:rsidR="007833AC" w:rsidRPr="00CF07DE" w:rsidRDefault="007833AC" w:rsidP="007833AC">
      <w:pPr>
        <w:pStyle w:val="Corpsdetexte"/>
        <w:numPr>
          <w:ilvl w:val="0"/>
          <w:numId w:val="14"/>
        </w:numPr>
        <w:spacing w:before="140" w:after="140"/>
        <w:rPr>
          <w:rFonts w:ascii="Arial Narrow" w:hAnsi="Arial Narrow"/>
        </w:rPr>
      </w:pPr>
      <w:r w:rsidRPr="00CF07DE">
        <w:rPr>
          <w:rFonts w:ascii="Arial Narrow" w:hAnsi="Arial Narrow"/>
        </w:rPr>
        <w:t>Dans les deux cas, le « Bilan des dépenses de publicité préélectorale partisane d’un tiers »</w:t>
      </w:r>
      <w:r w:rsidRPr="00CF07DE">
        <w:rPr>
          <w:rStyle w:val="Appelnotedebasdep"/>
          <w:rFonts w:ascii="Arial Narrow" w:hAnsi="Arial Narrow"/>
        </w:rPr>
        <w:footnoteReference w:id="5"/>
      </w:r>
      <w:r w:rsidRPr="00CF07DE">
        <w:rPr>
          <w:rFonts w:ascii="Arial Narrow" w:hAnsi="Arial Narrow"/>
        </w:rPr>
        <w:t xml:space="preserve"> devra être transmis dans les 30 jours suivant les élections.</w:t>
      </w:r>
    </w:p>
    <w:p w14:paraId="459920F1" w14:textId="675D0EF6" w:rsidR="00F8242C" w:rsidRPr="00CF07DE" w:rsidRDefault="001D4FC4" w:rsidP="00F8242C">
      <w:pPr>
        <w:rPr>
          <w:rFonts w:cs="Nirmala UI Semilight"/>
          <w:color w:val="262626" w:themeColor="text1" w:themeTint="D9"/>
        </w:rPr>
      </w:pPr>
      <w:r w:rsidRPr="00CF07DE">
        <w:rPr>
          <w:rFonts w:cs="Nirmala UI Semilight"/>
          <w:color w:val="262626" w:themeColor="text1" w:themeTint="D9"/>
        </w:rPr>
        <w:t>Après les élections,</w:t>
      </w:r>
      <w:r w:rsidR="007833AC">
        <w:rPr>
          <w:rFonts w:cs="Nirmala UI Semilight"/>
          <w:color w:val="262626" w:themeColor="text1" w:themeTint="D9"/>
        </w:rPr>
        <w:t xml:space="preserve"> un tiers a donc </w:t>
      </w:r>
      <w:r w:rsidRPr="00CF07DE">
        <w:rPr>
          <w:rFonts w:cs="Nirmala UI Semilight"/>
          <w:color w:val="262626" w:themeColor="text1" w:themeTint="D9"/>
        </w:rPr>
        <w:t xml:space="preserve">30 jours pour produire un </w:t>
      </w:r>
      <w:r w:rsidR="007833AC">
        <w:rPr>
          <w:rFonts w:cs="Nirmala UI Semilight"/>
          <w:color w:val="262626" w:themeColor="text1" w:themeTint="D9"/>
        </w:rPr>
        <w:t>bilan</w:t>
      </w:r>
      <w:r w:rsidRPr="00CF07DE">
        <w:rPr>
          <w:rFonts w:cs="Nirmala UI Semilight"/>
          <w:color w:val="262626" w:themeColor="text1" w:themeTint="D9"/>
        </w:rPr>
        <w:t xml:space="preserve"> </w:t>
      </w:r>
      <w:r w:rsidR="00F8242C" w:rsidRPr="00CF07DE">
        <w:rPr>
          <w:rFonts w:cs="Nirmala UI Semilight"/>
          <w:color w:val="262626" w:themeColor="text1" w:themeTint="D9"/>
        </w:rPr>
        <w:t xml:space="preserve">décrivant, pour chaque publicité, les dates de diffusion, les montants dépensés, les moyens de diffusion utilisés et la description de son contenu </w:t>
      </w:r>
      <w:r w:rsidR="00F8242C" w:rsidRPr="00CF07DE">
        <w:rPr>
          <w:rFonts w:cs="Nirmala UI Semilight"/>
          <w:color w:val="262626" w:themeColor="text1" w:themeTint="D9"/>
        </w:rPr>
        <w:lastRenderedPageBreak/>
        <w:t xml:space="preserve">en précisant son sujet, ainsi que les partis politiques, les candidates et les candidats qu’elle visait, ainsi que le montre l’exemple </w:t>
      </w:r>
      <w:r w:rsidR="007833AC">
        <w:rPr>
          <w:rFonts w:cs="Nirmala UI Semilight"/>
          <w:color w:val="262626" w:themeColor="text1" w:themeTint="D9"/>
        </w:rPr>
        <w:t>d</w:t>
      </w:r>
      <w:r w:rsidR="00F8242C" w:rsidRPr="00CF07DE">
        <w:rPr>
          <w:rFonts w:cs="Nirmala UI Semilight"/>
          <w:color w:val="262626" w:themeColor="text1" w:themeTint="D9"/>
        </w:rPr>
        <w:t>u Guide du DGEQ.</w:t>
      </w:r>
    </w:p>
    <w:p w14:paraId="37720103" w14:textId="2B9D9327" w:rsidR="00F8242C" w:rsidRPr="00CF07DE" w:rsidRDefault="00F8242C" w:rsidP="00F8242C">
      <w:pPr>
        <w:rPr>
          <w:rFonts w:cs="Nirmala UI Semilight"/>
          <w:color w:val="262626" w:themeColor="text1" w:themeTint="D9"/>
        </w:rPr>
      </w:pPr>
      <w:r w:rsidRPr="00CF07DE">
        <w:rPr>
          <w:rFonts w:cs="Nirmala UI Semilight"/>
          <w:noProof/>
          <w:color w:val="262626" w:themeColor="text1" w:themeTint="D9"/>
        </w:rPr>
        <w:drawing>
          <wp:inline distT="0" distB="0" distL="0" distR="0" wp14:anchorId="57230872" wp14:editId="2B1207FF">
            <wp:extent cx="5250654" cy="2138833"/>
            <wp:effectExtent l="0" t="0" r="7620" b="0"/>
            <wp:docPr id="8508953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895320" name=""/>
                    <pic:cNvPicPr/>
                  </pic:nvPicPr>
                  <pic:blipFill rotWithShape="1">
                    <a:blip r:embed="rId18"/>
                    <a:srcRect l="2120" t="16989" r="1276" b="3070"/>
                    <a:stretch>
                      <a:fillRect/>
                    </a:stretch>
                  </pic:blipFill>
                  <pic:spPr bwMode="auto">
                    <a:xfrm>
                      <a:off x="0" y="0"/>
                      <a:ext cx="5257882" cy="2141777"/>
                    </a:xfrm>
                    <a:prstGeom prst="rect">
                      <a:avLst/>
                    </a:prstGeom>
                    <a:ln>
                      <a:noFill/>
                    </a:ln>
                    <a:extLst>
                      <a:ext uri="{53640926-AAD7-44D8-BBD7-CCE9431645EC}">
                        <a14:shadowObscured xmlns:a14="http://schemas.microsoft.com/office/drawing/2010/main"/>
                      </a:ext>
                    </a:extLst>
                  </pic:spPr>
                </pic:pic>
              </a:graphicData>
            </a:graphic>
          </wp:inline>
        </w:drawing>
      </w:r>
    </w:p>
    <w:p w14:paraId="56EBA07D" w14:textId="77777777" w:rsidR="002F1A06" w:rsidRPr="00CF07DE" w:rsidRDefault="002F1A06" w:rsidP="002F1A06">
      <w:r w:rsidRPr="00CF07DE">
        <w:t xml:space="preserve">Un tiers devra ensuite conserver </w:t>
      </w:r>
      <w:r w:rsidRPr="00CF07DE">
        <w:rPr>
          <w:rFonts w:cs="Nirmala UI Semilight"/>
          <w:color w:val="262626" w:themeColor="text1" w:themeTint="D9"/>
        </w:rPr>
        <w:t xml:space="preserve">les pièces justificatives </w:t>
      </w:r>
      <w:r w:rsidRPr="00CF07DE">
        <w:t>durant 7 ans et permettre au DGEQ d’accéder à tous les livres, comptes et documents se rapportant aux dépenses préélectorales dans un délai de 30 jours durant cette période.</w:t>
      </w:r>
    </w:p>
    <w:p w14:paraId="7E007936" w14:textId="453CB0FD" w:rsidR="009C0556" w:rsidRDefault="009C0556" w:rsidP="002F1A06">
      <w:pPr>
        <w:rPr>
          <w:rFonts w:cs="Nirmala UI Semilight"/>
          <w:color w:val="262626" w:themeColor="text1" w:themeTint="D9"/>
        </w:rPr>
      </w:pPr>
      <w:r w:rsidRPr="00CF07DE">
        <w:rPr>
          <w:rFonts w:cs="Nirmala UI Semilight"/>
          <w:color w:val="262626" w:themeColor="text1" w:themeTint="D9"/>
        </w:rPr>
        <w:t>Le non-respect des règles durant la campagne préélectorale entraîne des amendes variables : par exemple : de 1 000$ à 10 000$ pour une fausse déclaration ou un faux rapport de dépenses, de 500$ à 10 000$ pour une publicité préélectorale partisane ne contenant pas le nom ou la dénomination du tiers qui la diffuse.</w:t>
      </w:r>
    </w:p>
    <w:p w14:paraId="63048643" w14:textId="22F1BEE1" w:rsidR="007D0112" w:rsidRPr="007D0112" w:rsidRDefault="007D0112" w:rsidP="00ED76F8">
      <w:pPr>
        <w:pStyle w:val="Corpsdetexte"/>
        <w:spacing w:before="140" w:after="140"/>
        <w:rPr>
          <w:rFonts w:ascii="Arial Narrow" w:hAnsi="Arial Narrow" w:cs="Nirmala UI Semilight"/>
          <w:b/>
          <w:bCs/>
          <w:color w:val="262626" w:themeColor="text1" w:themeTint="D9"/>
        </w:rPr>
      </w:pPr>
      <w:r w:rsidRPr="007D0112">
        <w:rPr>
          <w:rFonts w:ascii="Arial Narrow" w:hAnsi="Arial Narrow" w:cs="Nirmala UI Semilight"/>
          <w:b/>
          <w:bCs/>
          <w:color w:val="262626" w:themeColor="text1" w:themeTint="D9"/>
        </w:rPr>
        <w:t>Les nouvelles règles échappent à certaines logiques</w:t>
      </w:r>
    </w:p>
    <w:p w14:paraId="1D1BB015" w14:textId="77777777" w:rsidR="00012D8A" w:rsidRDefault="00012D8A" w:rsidP="00ED76F8">
      <w:pPr>
        <w:pStyle w:val="Corpsdetexte"/>
        <w:spacing w:before="140" w:after="140"/>
        <w:rPr>
          <w:rFonts w:ascii="Arial Narrow" w:hAnsi="Arial Narrow" w:cs="Nirmala UI Semilight"/>
          <w:color w:val="262626" w:themeColor="text1" w:themeTint="D9"/>
        </w:rPr>
      </w:pPr>
      <w:r>
        <w:rPr>
          <w:rFonts w:ascii="Arial Narrow" w:hAnsi="Arial Narrow" w:cs="Nirmala UI Semilight"/>
          <w:color w:val="262626" w:themeColor="text1" w:themeTint="D9"/>
        </w:rPr>
        <w:t>Les nouvelles règles s’appliquent face aux partis et aux personnes candidates. Or, l’</w:t>
      </w:r>
      <w:r w:rsidR="00052D64" w:rsidRPr="00556B47">
        <w:rPr>
          <w:rFonts w:ascii="Arial Narrow" w:hAnsi="Arial Narrow" w:cs="Nirmala UI Semilight"/>
          <w:color w:val="262626" w:themeColor="text1" w:themeTint="D9"/>
        </w:rPr>
        <w:t>enregistrement des noms des candidates et des candidats se f</w:t>
      </w:r>
      <w:r w:rsidR="00052D64">
        <w:rPr>
          <w:rFonts w:ascii="Arial Narrow" w:hAnsi="Arial Narrow" w:cs="Nirmala UI Semilight"/>
          <w:color w:val="262626" w:themeColor="text1" w:themeTint="D9"/>
        </w:rPr>
        <w:t xml:space="preserve">ait </w:t>
      </w:r>
      <w:r w:rsidR="00052D64" w:rsidRPr="00556B47">
        <w:rPr>
          <w:rFonts w:ascii="Arial Narrow" w:hAnsi="Arial Narrow" w:cs="Nirmala UI Semilight"/>
          <w:color w:val="262626" w:themeColor="text1" w:themeTint="D9"/>
        </w:rPr>
        <w:t>par le DGEQ selon un calendrier lié à la campagne électorale et non à la période préélectorale</w:t>
      </w:r>
      <w:r>
        <w:rPr>
          <w:rFonts w:ascii="Arial Narrow" w:hAnsi="Arial Narrow" w:cs="Nirmala UI Semilight"/>
          <w:color w:val="262626" w:themeColor="text1" w:themeTint="D9"/>
        </w:rPr>
        <w:t xml:space="preserve">. </w:t>
      </w:r>
      <w:r w:rsidR="00052D64" w:rsidRPr="00556B47">
        <w:rPr>
          <w:rFonts w:ascii="Arial Narrow" w:hAnsi="Arial Narrow" w:cs="Nirmala UI Semilight"/>
          <w:color w:val="262626" w:themeColor="text1" w:themeTint="D9"/>
        </w:rPr>
        <w:t>Par exemple, en 2026, les candidatures ne pourront être déposées qu’entre le 13 juin et le 18 septembre.</w:t>
      </w:r>
      <w:r>
        <w:rPr>
          <w:rFonts w:ascii="Arial Narrow" w:hAnsi="Arial Narrow" w:cs="Nirmala UI Semilight"/>
          <w:color w:val="262626" w:themeColor="text1" w:themeTint="D9"/>
        </w:rPr>
        <w:t xml:space="preserve"> </w:t>
      </w:r>
      <w:r w:rsidR="00052D64" w:rsidRPr="00556B47">
        <w:rPr>
          <w:rFonts w:ascii="Arial Narrow" w:hAnsi="Arial Narrow" w:cs="Nirmala UI Semilight"/>
          <w:color w:val="262626" w:themeColor="text1" w:themeTint="D9"/>
        </w:rPr>
        <w:t xml:space="preserve">Ainsi, ce n’est que le 19 septembre que les informations sont officielles et connues pour tous les partis et toutes les personnes candidates. </w:t>
      </w:r>
    </w:p>
    <w:p w14:paraId="567F7837" w14:textId="49B7FE6E" w:rsidR="00052D64" w:rsidRPr="00052D64" w:rsidRDefault="00012D8A" w:rsidP="00ED76F8">
      <w:pPr>
        <w:pStyle w:val="Corpsdetexte"/>
        <w:spacing w:before="140" w:after="140"/>
        <w:rPr>
          <w:rFonts w:cs="Nirmala UI Semilight"/>
          <w:color w:val="262626" w:themeColor="text1" w:themeTint="D9"/>
        </w:rPr>
      </w:pPr>
      <w:r>
        <w:rPr>
          <w:rFonts w:ascii="Arial Narrow" w:hAnsi="Arial Narrow" w:cs="Nirmala UI Semilight"/>
          <w:color w:val="262626" w:themeColor="text1" w:themeTint="D9"/>
        </w:rPr>
        <w:t xml:space="preserve">Cette situation amène plusieurs questions. Comment le DGEQ pourra-t-il faire appliquer des règles sur les personnes candidates avant le 18 juin ? </w:t>
      </w:r>
      <w:r w:rsidR="00052D64" w:rsidRPr="00556B47">
        <w:rPr>
          <w:rFonts w:ascii="Arial Narrow" w:hAnsi="Arial Narrow" w:cs="Nirmala UI Semilight"/>
          <w:color w:val="262626" w:themeColor="text1" w:themeTint="D9"/>
        </w:rPr>
        <w:t>Comment un tiers pourrait-il savoir, plusieurs mois avant même le début de la campagne électorale, qu’une personne sera candidate ou qu’un parti sera autorisé par le DGEQ</w:t>
      </w:r>
      <w:r w:rsidR="00052D64">
        <w:rPr>
          <w:rFonts w:ascii="Arial Narrow" w:hAnsi="Arial Narrow" w:cs="Nirmala UI Semilight"/>
          <w:color w:val="262626" w:themeColor="text1" w:themeTint="D9"/>
        </w:rPr>
        <w:t> ? Qu’arrivera-t-il si la candidature d’un</w:t>
      </w:r>
      <w:r w:rsidR="00ED76F8">
        <w:rPr>
          <w:rFonts w:ascii="Arial Narrow" w:hAnsi="Arial Narrow" w:cs="Nirmala UI Semilight"/>
          <w:color w:val="262626" w:themeColor="text1" w:themeTint="D9"/>
        </w:rPr>
        <w:t>e</w:t>
      </w:r>
      <w:r w:rsidR="00052D64">
        <w:rPr>
          <w:rFonts w:ascii="Arial Narrow" w:hAnsi="Arial Narrow" w:cs="Nirmala UI Semilight"/>
          <w:color w:val="262626" w:themeColor="text1" w:themeTint="D9"/>
        </w:rPr>
        <w:t xml:space="preserve"> personne au cœur d’un message </w:t>
      </w:r>
      <w:r w:rsidR="00ED76F8">
        <w:rPr>
          <w:rFonts w:ascii="Arial Narrow" w:hAnsi="Arial Narrow" w:cs="Nirmala UI Semilight"/>
          <w:color w:val="262626" w:themeColor="text1" w:themeTint="D9"/>
        </w:rPr>
        <w:t xml:space="preserve">n'étant pas considéré comme une publicité préélectorale </w:t>
      </w:r>
      <w:r w:rsidR="00052D64">
        <w:rPr>
          <w:rFonts w:ascii="Arial Narrow" w:hAnsi="Arial Narrow" w:cs="Nirmala UI Semilight"/>
          <w:color w:val="262626" w:themeColor="text1" w:themeTint="D9"/>
        </w:rPr>
        <w:t xml:space="preserve">devient </w:t>
      </w:r>
      <w:r w:rsidR="00ED76F8">
        <w:rPr>
          <w:rFonts w:ascii="Arial Narrow" w:hAnsi="Arial Narrow" w:cs="Nirmala UI Semilight"/>
          <w:color w:val="262626" w:themeColor="text1" w:themeTint="D9"/>
        </w:rPr>
        <w:t>officielle</w:t>
      </w:r>
      <w:r w:rsidR="00052D64">
        <w:rPr>
          <w:rFonts w:ascii="Arial Narrow" w:hAnsi="Arial Narrow" w:cs="Nirmala UI Semilight"/>
          <w:color w:val="262626" w:themeColor="text1" w:themeTint="D9"/>
        </w:rPr>
        <w:t xml:space="preserve"> après la diffusion d</w:t>
      </w:r>
      <w:r w:rsidR="00ED76F8">
        <w:rPr>
          <w:rFonts w:ascii="Arial Narrow" w:hAnsi="Arial Narrow" w:cs="Nirmala UI Semilight"/>
          <w:color w:val="262626" w:themeColor="text1" w:themeTint="D9"/>
        </w:rPr>
        <w:t xml:space="preserve">u </w:t>
      </w:r>
      <w:r w:rsidR="00052D64">
        <w:rPr>
          <w:rFonts w:ascii="Arial Narrow" w:hAnsi="Arial Narrow" w:cs="Nirmala UI Semilight"/>
          <w:color w:val="262626" w:themeColor="text1" w:themeTint="D9"/>
        </w:rPr>
        <w:t>message</w:t>
      </w:r>
      <w:r w:rsidR="00ED76F8">
        <w:rPr>
          <w:rFonts w:ascii="Arial Narrow" w:hAnsi="Arial Narrow" w:cs="Nirmala UI Semilight"/>
          <w:color w:val="262626" w:themeColor="text1" w:themeTint="D9"/>
        </w:rPr>
        <w:t> ?</w:t>
      </w:r>
    </w:p>
    <w:p w14:paraId="0F36019F" w14:textId="55B82559" w:rsidR="00012D8A" w:rsidRPr="00556B47" w:rsidRDefault="00012D8A" w:rsidP="00012D8A">
      <w:pPr>
        <w:pStyle w:val="Corpsdetexte"/>
        <w:spacing w:before="140" w:after="140"/>
        <w:rPr>
          <w:rFonts w:ascii="Arial Narrow" w:hAnsi="Arial Narrow" w:cs="Nirmala UI Semilight"/>
          <w:color w:val="262626" w:themeColor="text1" w:themeTint="D9"/>
        </w:rPr>
      </w:pPr>
      <w:r>
        <w:rPr>
          <w:rFonts w:ascii="Arial Narrow" w:hAnsi="Arial Narrow" w:cs="Nirmala UI Semilight"/>
          <w:color w:val="262626" w:themeColor="text1" w:themeTint="D9"/>
        </w:rPr>
        <w:t>Il est également surprenant de constater que l’établissement des deux périodes préélectorales ne correspond pas aux logiques de contrôle des dépenses électorales à partir du déclenchement d’une campagne électorale. En effet, les nouvelles règles ne limitent pas la hauteur des d</w:t>
      </w:r>
      <w:r w:rsidRPr="00556B47">
        <w:rPr>
          <w:rFonts w:ascii="Arial Narrow" w:hAnsi="Arial Narrow" w:cs="Nirmala UI Semilight"/>
          <w:color w:val="262626" w:themeColor="text1" w:themeTint="D9"/>
        </w:rPr>
        <w:t xml:space="preserve">épenses préélectorales de publicité partisane, </w:t>
      </w:r>
      <w:r>
        <w:rPr>
          <w:rFonts w:ascii="Arial Narrow" w:hAnsi="Arial Narrow" w:cs="Nirmala UI Semilight"/>
          <w:color w:val="262626" w:themeColor="text1" w:themeTint="D9"/>
        </w:rPr>
        <w:t xml:space="preserve">puisqu’il n’y a pas </w:t>
      </w:r>
      <w:r w:rsidRPr="00556B47">
        <w:rPr>
          <w:rFonts w:ascii="Arial Narrow" w:hAnsi="Arial Narrow" w:cs="Nirmala UI Semilight"/>
          <w:color w:val="262626" w:themeColor="text1" w:themeTint="D9"/>
        </w:rPr>
        <w:t>montant total maximum de dépenses publicitaires</w:t>
      </w:r>
      <w:r>
        <w:rPr>
          <w:rFonts w:ascii="Arial Narrow" w:hAnsi="Arial Narrow" w:cs="Nirmala UI Semilight"/>
          <w:color w:val="262626" w:themeColor="text1" w:themeTint="D9"/>
        </w:rPr>
        <w:t>,</w:t>
      </w:r>
      <w:r w:rsidRPr="00556B47">
        <w:rPr>
          <w:rFonts w:ascii="Arial Narrow" w:hAnsi="Arial Narrow" w:cs="Nirmala UI Semilight"/>
          <w:color w:val="262626" w:themeColor="text1" w:themeTint="D9"/>
        </w:rPr>
        <w:t xml:space="preserve"> ni </w:t>
      </w:r>
      <w:r>
        <w:rPr>
          <w:rFonts w:ascii="Arial Narrow" w:hAnsi="Arial Narrow" w:cs="Nirmala UI Semilight"/>
          <w:color w:val="262626" w:themeColor="text1" w:themeTint="D9"/>
        </w:rPr>
        <w:t>pour les tiers ni pour les partis politiques.</w:t>
      </w:r>
    </w:p>
    <w:p w14:paraId="3ECA031B" w14:textId="5A17DC5D" w:rsidR="00997E2A" w:rsidRPr="00CF07DE" w:rsidRDefault="00997E2A" w:rsidP="002F1A06">
      <w:pPr>
        <w:rPr>
          <w:b/>
          <w:bCs/>
        </w:rPr>
      </w:pPr>
      <w:r w:rsidRPr="00CF07DE">
        <w:rPr>
          <w:b/>
          <w:bCs/>
        </w:rPr>
        <w:t>Être perçu comme un tiers… un pensez-y</w:t>
      </w:r>
      <w:r w:rsidR="005905E1">
        <w:rPr>
          <w:b/>
          <w:bCs/>
        </w:rPr>
        <w:t>-</w:t>
      </w:r>
      <w:r w:rsidRPr="00CF07DE">
        <w:rPr>
          <w:b/>
          <w:bCs/>
        </w:rPr>
        <w:t>bien!</w:t>
      </w:r>
    </w:p>
    <w:p w14:paraId="630A26F1" w14:textId="0AC92B58" w:rsidR="00A20262" w:rsidRDefault="00525E88" w:rsidP="00525E88">
      <w:r>
        <w:lastRenderedPageBreak/>
        <w:t xml:space="preserve">La définition abusive d’une publicité électorale pourrait amener un grand nombre de groupes communautaires et syndicaux à s’enregistrer comme tiers, </w:t>
      </w:r>
      <w:r w:rsidR="0073284A">
        <w:t>a</w:t>
      </w:r>
      <w:r>
        <w:t>lors que leurs communications publiques ne sont pas des publicités</w:t>
      </w:r>
      <w:r w:rsidR="0073284A">
        <w:t>,</w:t>
      </w:r>
      <w:r>
        <w:t xml:space="preserve"> selon l’usage commun</w:t>
      </w:r>
      <w:r w:rsidR="007171EE">
        <w:t>.</w:t>
      </w:r>
      <w:r w:rsidR="0073284A">
        <w:t xml:space="preserve"> Cette définition, combinée à la longue durée de la période préélectorale des tiers, illustre la petitesse du montant à partir duquel </w:t>
      </w:r>
      <w:r w:rsidR="005A5597">
        <w:t>il faudrait s’enregistrer</w:t>
      </w:r>
      <w:r w:rsidR="007171EE">
        <w:t xml:space="preserve">. Il </w:t>
      </w:r>
      <w:r w:rsidR="005A5597">
        <w:t xml:space="preserve">sera </w:t>
      </w:r>
      <w:r w:rsidR="007171EE">
        <w:t xml:space="preserve">en effet </w:t>
      </w:r>
      <w:r w:rsidR="005A5597">
        <w:t xml:space="preserve">rapide d’atteindre </w:t>
      </w:r>
      <w:r w:rsidR="0073284A" w:rsidRPr="00CF07DE">
        <w:rPr>
          <w:rFonts w:cs="Nirmala UI Semilight"/>
          <w:color w:val="262626" w:themeColor="text1" w:themeTint="D9"/>
        </w:rPr>
        <w:t xml:space="preserve">1000$ </w:t>
      </w:r>
      <w:r w:rsidR="005A5597">
        <w:rPr>
          <w:rFonts w:cs="Nirmala UI Semilight"/>
          <w:color w:val="262626" w:themeColor="text1" w:themeTint="D9"/>
        </w:rPr>
        <w:t>en dépenses ne serait-ce que lorsque d</w:t>
      </w:r>
      <w:r w:rsidR="0073284A" w:rsidRPr="00CF07DE">
        <w:rPr>
          <w:rFonts w:cs="Nirmala UI Semilight"/>
          <w:color w:val="262626" w:themeColor="text1" w:themeTint="D9"/>
        </w:rPr>
        <w:t>u salaire</w:t>
      </w:r>
      <w:r w:rsidR="005A5597">
        <w:rPr>
          <w:rFonts w:cs="Nirmala UI Semilight"/>
          <w:color w:val="262626" w:themeColor="text1" w:themeTint="D9"/>
        </w:rPr>
        <w:t xml:space="preserve"> sera impliqué</w:t>
      </w:r>
      <w:r w:rsidR="00A20262">
        <w:rPr>
          <w:rFonts w:cs="Nirmala UI Semilight"/>
          <w:color w:val="262626" w:themeColor="text1" w:themeTint="D9"/>
        </w:rPr>
        <w:t xml:space="preserve">. Il y a ici une bataille politique à livrer pour faire modifier les </w:t>
      </w:r>
      <w:r w:rsidR="00A20262">
        <w:t>règles.</w:t>
      </w:r>
    </w:p>
    <w:p w14:paraId="2991B5C5" w14:textId="77777777" w:rsidR="007171EE" w:rsidRDefault="007171EE" w:rsidP="007171EE">
      <w:r>
        <w:t xml:space="preserve">Outre les démarches administratives, il faut se questionner sur l’effet que pourrait avoir la transmission de messages signés, par exemple, par un groupe communautaire, et portant une mention semblable à une affiche électorale. </w:t>
      </w:r>
    </w:p>
    <w:p w14:paraId="1E2E0B25" w14:textId="77777777" w:rsidR="001E75CD" w:rsidRDefault="001E75CD" w:rsidP="00525E88">
      <w:r>
        <w:t>Qui plus est, l’inscription dès la première année, d’un grand nombre de groupes communautaires et syndicaux en tant que tiers, pourrait créer un précédent qu’il sera difficile de défaire.</w:t>
      </w:r>
    </w:p>
    <w:p w14:paraId="680DFE43" w14:textId="514C5F74" w:rsidR="007171EE" w:rsidRDefault="007171EE" w:rsidP="00525E88">
      <w:r>
        <w:t>Les exemples suivants fournissent les premières pistes de solution pouvant permettre d’éviter l’enregistrement comme tiers</w:t>
      </w:r>
      <w:r w:rsidR="00A20262">
        <w:t xml:space="preserve">. </w:t>
      </w:r>
      <w:r>
        <w:t>Cela ne signifie pas cesser de s’exprimer, mais plutôt le faire différemment</w:t>
      </w:r>
      <w:r w:rsidR="00A20262">
        <w:t>, en attendant d’obtenir des modifications aux règles, incluant aux définitions.</w:t>
      </w:r>
    </w:p>
    <w:p w14:paraId="74751090" w14:textId="13E88F41" w:rsidR="00C27A7E" w:rsidRPr="00CF07DE" w:rsidRDefault="00E178E7" w:rsidP="00C27A7E">
      <w:r w:rsidRPr="00E178E7">
        <w:rPr>
          <w:highlight w:val="yellow"/>
        </w:rPr>
        <w:t>Cette se</w:t>
      </w:r>
      <w:r w:rsidR="0054210A" w:rsidRPr="00E178E7">
        <w:rPr>
          <w:highlight w:val="yellow"/>
        </w:rPr>
        <w:t xml:space="preserve">ction </w:t>
      </w:r>
      <w:r w:rsidRPr="00E178E7">
        <w:rPr>
          <w:highlight w:val="yellow"/>
        </w:rPr>
        <w:t>sera bonifiée sous peu.</w:t>
      </w:r>
    </w:p>
    <w:tbl>
      <w:tblPr>
        <w:tblStyle w:val="Grilledutableau"/>
        <w:tblW w:w="0" w:type="auto"/>
        <w:tblLook w:val="04A0" w:firstRow="1" w:lastRow="0" w:firstColumn="1" w:lastColumn="0" w:noHBand="0" w:noVBand="1"/>
      </w:tblPr>
      <w:tblGrid>
        <w:gridCol w:w="4675"/>
        <w:gridCol w:w="4675"/>
      </w:tblGrid>
      <w:tr w:rsidR="0054210A" w14:paraId="09FC4C4B" w14:textId="77777777" w:rsidTr="00360C0B">
        <w:tc>
          <w:tcPr>
            <w:tcW w:w="4675" w:type="dxa"/>
          </w:tcPr>
          <w:p w14:paraId="27BC3865" w14:textId="77777777" w:rsidR="0054210A" w:rsidRDefault="0054210A" w:rsidP="00360C0B">
            <w:pPr>
              <w:rPr>
                <w:b/>
                <w:bCs/>
              </w:rPr>
            </w:pPr>
            <w:r w:rsidRPr="00CF07DE">
              <w:rPr>
                <w:b/>
                <w:bCs/>
              </w:rPr>
              <w:t xml:space="preserve">Exemples </w:t>
            </w:r>
            <w:r>
              <w:rPr>
                <w:b/>
                <w:bCs/>
              </w:rPr>
              <w:t>de publicités préélectorales des tiers selon les définitions qui précèdent</w:t>
            </w:r>
          </w:p>
        </w:tc>
        <w:tc>
          <w:tcPr>
            <w:tcW w:w="4675" w:type="dxa"/>
          </w:tcPr>
          <w:p w14:paraId="7ACC483D" w14:textId="77777777" w:rsidR="0054210A" w:rsidRDefault="0054210A" w:rsidP="00360C0B">
            <w:pPr>
              <w:rPr>
                <w:b/>
                <w:bCs/>
              </w:rPr>
            </w:pPr>
            <w:r w:rsidRPr="00CF07DE">
              <w:rPr>
                <w:b/>
                <w:bCs/>
              </w:rPr>
              <w:t>Des exceptions</w:t>
            </w:r>
            <w:r>
              <w:rPr>
                <w:b/>
                <w:bCs/>
              </w:rPr>
              <w:t xml:space="preserve"> et des </w:t>
            </w:r>
            <w:r w:rsidRPr="00CF07DE">
              <w:rPr>
                <w:b/>
                <w:bCs/>
              </w:rPr>
              <w:t>pistes permettant d’éviter d’être perçu comme un tiers</w:t>
            </w:r>
          </w:p>
        </w:tc>
      </w:tr>
      <w:tr w:rsidR="0054210A" w14:paraId="4D6F80BE" w14:textId="77777777" w:rsidTr="00360C0B">
        <w:tc>
          <w:tcPr>
            <w:tcW w:w="9350" w:type="dxa"/>
            <w:gridSpan w:val="2"/>
          </w:tcPr>
          <w:p w14:paraId="2F077DBD" w14:textId="7FD5332A" w:rsidR="0054210A" w:rsidRPr="005676CE" w:rsidRDefault="005676CE" w:rsidP="005676CE">
            <w:pPr>
              <w:jc w:val="center"/>
              <w:rPr>
                <w:b/>
                <w:bCs/>
              </w:rPr>
            </w:pPr>
            <w:r w:rsidRPr="005676CE">
              <w:rPr>
                <w:b/>
                <w:bCs/>
              </w:rPr>
              <w:t xml:space="preserve">Panneau d’affichage, dépliant, vidéo, publication payante sur les médias sociaux ou traditionnels, </w:t>
            </w:r>
            <w:r>
              <w:rPr>
                <w:b/>
                <w:bCs/>
              </w:rPr>
              <w:t xml:space="preserve">ainsi qu’un </w:t>
            </w:r>
            <w:r w:rsidRPr="005676CE">
              <w:rPr>
                <w:b/>
                <w:bCs/>
              </w:rPr>
              <w:t>message par téléphone, par texto, par courriels ou par d’autres moyens électroniques</w:t>
            </w:r>
          </w:p>
        </w:tc>
      </w:tr>
      <w:tr w:rsidR="0054210A" w14:paraId="2D145EEF" w14:textId="77777777" w:rsidTr="00360C0B">
        <w:tc>
          <w:tcPr>
            <w:tcW w:w="4675" w:type="dxa"/>
          </w:tcPr>
          <w:p w14:paraId="49AAE4FF" w14:textId="090CA97C" w:rsidR="0054210A" w:rsidRDefault="0054210A" w:rsidP="00360C0B">
            <w:pPr>
              <w:rPr>
                <w:b/>
                <w:bCs/>
              </w:rPr>
            </w:pPr>
            <w:r>
              <w:t>S</w:t>
            </w:r>
            <w:r w:rsidRPr="00CF07DE">
              <w:t xml:space="preserve">’il </w:t>
            </w:r>
            <w:r>
              <w:t xml:space="preserve">réfère </w:t>
            </w:r>
            <w:r w:rsidRPr="00987875">
              <w:rPr>
                <w:u w:val="single"/>
              </w:rPr>
              <w:t>directement</w:t>
            </w:r>
            <w:r>
              <w:t xml:space="preserve"> à une personne candidate ou à un parti politique</w:t>
            </w:r>
            <w:r w:rsidR="004171E2" w:rsidRPr="00CF07DE">
              <w:t>.</w:t>
            </w:r>
          </w:p>
        </w:tc>
        <w:tc>
          <w:tcPr>
            <w:tcW w:w="4675" w:type="dxa"/>
          </w:tcPr>
          <w:p w14:paraId="3C1FDAA9" w14:textId="5F05DFAD" w:rsidR="0054210A" w:rsidRDefault="0054210A" w:rsidP="007D0112">
            <w:pPr>
              <w:rPr>
                <w:b/>
                <w:bCs/>
              </w:rPr>
            </w:pPr>
            <w:r>
              <w:t>S</w:t>
            </w:r>
            <w:r w:rsidRPr="00CF07DE">
              <w:t xml:space="preserve">’il </w:t>
            </w:r>
            <w:r>
              <w:t xml:space="preserve">réfère </w:t>
            </w:r>
            <w:r w:rsidRPr="00987875">
              <w:rPr>
                <w:u w:val="single"/>
              </w:rPr>
              <w:t>indirectement</w:t>
            </w:r>
            <w:r>
              <w:t xml:space="preserve"> à une personne candidate</w:t>
            </w:r>
            <w:r w:rsidR="00A21E79">
              <w:t xml:space="preserve">, </w:t>
            </w:r>
            <w:r>
              <w:t xml:space="preserve">à un parti </w:t>
            </w:r>
            <w:r w:rsidR="007D0112">
              <w:t xml:space="preserve">ou </w:t>
            </w:r>
            <w:r w:rsidR="00A21E79">
              <w:t>à un programme politique.</w:t>
            </w:r>
          </w:p>
        </w:tc>
      </w:tr>
      <w:tr w:rsidR="004171E2" w14:paraId="12183D91" w14:textId="77777777" w:rsidTr="00360C0B">
        <w:tc>
          <w:tcPr>
            <w:tcW w:w="4675" w:type="dxa"/>
          </w:tcPr>
          <w:p w14:paraId="0878D420" w14:textId="7B8EE6FA" w:rsidR="004171E2" w:rsidRDefault="004171E2" w:rsidP="00360C0B">
            <w:r>
              <w:t>S</w:t>
            </w:r>
            <w:r w:rsidRPr="00CF07DE">
              <w:t xml:space="preserve">’il </w:t>
            </w:r>
            <w:r>
              <w:t>réfère directement aux</w:t>
            </w:r>
            <w:r w:rsidRPr="00CF07DE">
              <w:t xml:space="preserve"> propos des personnes candidates, ou même </w:t>
            </w:r>
            <w:r>
              <w:t xml:space="preserve">relaie </w:t>
            </w:r>
            <w:r w:rsidRPr="00CF07DE">
              <w:t>une liste d’articles de médias exprimant des opinions</w:t>
            </w:r>
            <w:r w:rsidR="00293E26">
              <w:t>.</w:t>
            </w:r>
          </w:p>
        </w:tc>
        <w:tc>
          <w:tcPr>
            <w:tcW w:w="4675" w:type="dxa"/>
          </w:tcPr>
          <w:p w14:paraId="1E6E8CB2" w14:textId="0A09BFE5" w:rsidR="004171E2" w:rsidRDefault="00293E26" w:rsidP="00360C0B">
            <w:r>
              <w:t>S</w:t>
            </w:r>
            <w:r w:rsidRPr="00CF07DE">
              <w:t>’il</w:t>
            </w:r>
            <w:r>
              <w:t xml:space="preserve"> </w:t>
            </w:r>
            <w:r w:rsidR="00052D64">
              <w:t>affirme</w:t>
            </w:r>
            <w:r>
              <w:t xml:space="preserve"> </w:t>
            </w:r>
            <w:r w:rsidR="00052D64">
              <w:t>une revendication ou une</w:t>
            </w:r>
            <w:r>
              <w:t xml:space="preserve"> attente face à un enjeu, sans référ</w:t>
            </w:r>
            <w:r w:rsidR="00052D64">
              <w:t>ence à son avancement ou non par les actions ou les inactions du parti du gouvernement, de l’opposition ou d’une personne candidate.</w:t>
            </w:r>
          </w:p>
        </w:tc>
      </w:tr>
      <w:tr w:rsidR="00A21E79" w14:paraId="5FDF3FC1" w14:textId="77777777" w:rsidTr="00983A1A">
        <w:tc>
          <w:tcPr>
            <w:tcW w:w="4675" w:type="dxa"/>
          </w:tcPr>
          <w:p w14:paraId="058A9B2E" w14:textId="77777777" w:rsidR="00A21E79" w:rsidRPr="00052D64" w:rsidRDefault="00A21E79" w:rsidP="00052D64">
            <w:pPr>
              <w:jc w:val="center"/>
              <w:rPr>
                <w:b/>
                <w:bCs/>
              </w:rPr>
            </w:pPr>
          </w:p>
        </w:tc>
        <w:tc>
          <w:tcPr>
            <w:tcW w:w="4675" w:type="dxa"/>
          </w:tcPr>
          <w:p w14:paraId="6CBE696C" w14:textId="54026C74" w:rsidR="00A21E79" w:rsidRPr="00052D64" w:rsidRDefault="00A21E79" w:rsidP="00A21E79">
            <w:pPr>
              <w:rPr>
                <w:b/>
                <w:bCs/>
              </w:rPr>
            </w:pPr>
            <w:r>
              <w:t xml:space="preserve">Si le contenu </w:t>
            </w:r>
            <w:r w:rsidRPr="004A23A1">
              <w:t>porte sur des questions débattues publiquement</w:t>
            </w:r>
            <w:r>
              <w:t>,</w:t>
            </w:r>
            <w:r w:rsidRPr="004A23A1">
              <w:t xml:space="preserve"> à la condition </w:t>
            </w:r>
            <w:r>
              <w:t xml:space="preserve">de ne pas identifier spécifiquement une personne </w:t>
            </w:r>
            <w:r w:rsidRPr="004A23A1">
              <w:t>candidate,</w:t>
            </w:r>
            <w:r>
              <w:t xml:space="preserve"> un </w:t>
            </w:r>
            <w:r w:rsidRPr="004A23A1">
              <w:t xml:space="preserve">parti politique ou </w:t>
            </w:r>
            <w:r>
              <w:t xml:space="preserve">un </w:t>
            </w:r>
            <w:r w:rsidRPr="004A23A1">
              <w:t>élément précis d’un programme</w:t>
            </w:r>
            <w:r>
              <w:t xml:space="preserve"> politique.</w:t>
            </w:r>
          </w:p>
        </w:tc>
      </w:tr>
      <w:tr w:rsidR="00052D64" w14:paraId="2D537172" w14:textId="77777777" w:rsidTr="00360C0B">
        <w:tc>
          <w:tcPr>
            <w:tcW w:w="4675" w:type="dxa"/>
          </w:tcPr>
          <w:p w14:paraId="42AECE37" w14:textId="77777777" w:rsidR="00052D64" w:rsidRDefault="00052D64" w:rsidP="00360C0B">
            <w:pPr>
              <w:rPr>
                <w:b/>
                <w:bCs/>
              </w:rPr>
            </w:pPr>
          </w:p>
        </w:tc>
        <w:tc>
          <w:tcPr>
            <w:tcW w:w="4675" w:type="dxa"/>
          </w:tcPr>
          <w:p w14:paraId="4729E56D" w14:textId="3118E0C6" w:rsidR="00052D64" w:rsidRPr="007D0112" w:rsidRDefault="00A21E79" w:rsidP="00A21E79">
            <w:r>
              <w:t xml:space="preserve">S’il </w:t>
            </w:r>
            <w:r w:rsidR="007D0112" w:rsidRPr="004A23A1">
              <w:t>abord</w:t>
            </w:r>
            <w:r>
              <w:t>e</w:t>
            </w:r>
            <w:r w:rsidR="007D0112" w:rsidRPr="004A23A1">
              <w:t xml:space="preserve"> strictement</w:t>
            </w:r>
            <w:r w:rsidRPr="004A23A1">
              <w:t xml:space="preserve"> </w:t>
            </w:r>
            <w:r>
              <w:t>« </w:t>
            </w:r>
            <w:r w:rsidRPr="004A23A1">
              <w:t xml:space="preserve">des projets de loi, l’étude des crédits budgétaires, les travaux des commissions parlementaires, la mise en place de politiques publiques par des ministères ou les </w:t>
            </w:r>
            <w:r w:rsidRPr="004A23A1">
              <w:lastRenderedPageBreak/>
              <w:t xml:space="preserve">négociations entre le gouvernement et des </w:t>
            </w:r>
            <w:proofErr w:type="gramStart"/>
            <w:r w:rsidRPr="004A23A1">
              <w:t>syndicats</w:t>
            </w:r>
            <w:r>
              <w:t>»</w:t>
            </w:r>
            <w:proofErr w:type="gramEnd"/>
            <w:r w:rsidR="005676CE">
              <w:rPr>
                <w:rStyle w:val="Appelnotedebasdep"/>
              </w:rPr>
              <w:footnoteReference w:id="6"/>
            </w:r>
            <w:r w:rsidR="007D0112" w:rsidRPr="004A23A1">
              <w:t>.</w:t>
            </w:r>
          </w:p>
        </w:tc>
      </w:tr>
      <w:tr w:rsidR="007D0112" w14:paraId="128092B5" w14:textId="77777777" w:rsidTr="004D2289">
        <w:tc>
          <w:tcPr>
            <w:tcW w:w="9350" w:type="dxa"/>
            <w:gridSpan w:val="2"/>
          </w:tcPr>
          <w:p w14:paraId="4581755F" w14:textId="77777777" w:rsidR="007D0112" w:rsidRDefault="007D0112" w:rsidP="004D2289">
            <w:pPr>
              <w:jc w:val="center"/>
              <w:rPr>
                <w:b/>
                <w:bCs/>
              </w:rPr>
            </w:pPr>
            <w:r>
              <w:rPr>
                <w:b/>
                <w:bCs/>
              </w:rPr>
              <w:lastRenderedPageBreak/>
              <w:t>Lorsqu’un média relaie un contenu</w:t>
            </w:r>
          </w:p>
        </w:tc>
      </w:tr>
      <w:tr w:rsidR="007D0112" w14:paraId="53A113C9" w14:textId="77777777" w:rsidTr="004D2289">
        <w:tc>
          <w:tcPr>
            <w:tcW w:w="4675" w:type="dxa"/>
          </w:tcPr>
          <w:p w14:paraId="6988F162" w14:textId="77777777" w:rsidR="007D0112" w:rsidRPr="00002964" w:rsidRDefault="007D0112" w:rsidP="004D2289">
            <w:r w:rsidRPr="00002964">
              <w:t xml:space="preserve">Si le média relaie le contenu à la suite d’un paiement ou </w:t>
            </w:r>
            <w:r>
              <w:t>d’</w:t>
            </w:r>
            <w:r w:rsidRPr="00002964">
              <w:t>une promesse de paiement</w:t>
            </w:r>
            <w:r>
              <w:t xml:space="preserve">, comme lors d’une publication payante sur </w:t>
            </w:r>
            <w:proofErr w:type="spellStart"/>
            <w:r>
              <w:t>facebook</w:t>
            </w:r>
            <w:proofErr w:type="spellEnd"/>
            <w:r>
              <w:t xml:space="preserve"> ou autres médias sociaux.</w:t>
            </w:r>
          </w:p>
        </w:tc>
        <w:tc>
          <w:tcPr>
            <w:tcW w:w="4675" w:type="dxa"/>
          </w:tcPr>
          <w:p w14:paraId="45A12F51" w14:textId="77777777" w:rsidR="007D0112" w:rsidRPr="00002964" w:rsidRDefault="007D0112" w:rsidP="004D2289">
            <w:r w:rsidRPr="00002964">
              <w:t>Si le média relaie le contenu sans paiement ni promesse de paiement, comme lors de la diffusion d’une lettre ouverte, le</w:t>
            </w:r>
            <w:r>
              <w:t>s</w:t>
            </w:r>
            <w:r w:rsidRPr="00002964">
              <w:t xml:space="preserve"> informations provenant d’une entrevue, etc.</w:t>
            </w:r>
          </w:p>
        </w:tc>
      </w:tr>
    </w:tbl>
    <w:p w14:paraId="73B30D61" w14:textId="77777777" w:rsidR="008F26A1" w:rsidRPr="00CF07DE" w:rsidRDefault="008F26A1" w:rsidP="008F26A1">
      <w:pPr>
        <w:rPr>
          <w:b/>
          <w:bCs/>
        </w:rPr>
      </w:pPr>
      <w:r w:rsidRPr="00CF07DE">
        <w:rPr>
          <w:b/>
          <w:bCs/>
        </w:rPr>
        <w:t>Une période préélectorale différente pour les partis politiques</w:t>
      </w:r>
    </w:p>
    <w:p w14:paraId="37153926" w14:textId="77777777" w:rsidR="008F26A1" w:rsidRDefault="008F26A1" w:rsidP="008F26A1">
      <w:r>
        <w:t>La</w:t>
      </w:r>
      <w:r w:rsidRPr="00CF07DE">
        <w:t xml:space="preserve"> Loi instaure aussi une période préélectorale pour les partis politiques, </w:t>
      </w:r>
      <w:r>
        <w:t>mais, à plusieurs égards, elle est plus courte et plus légère que celle pour les tiers, si l’on en juge par les modifications à la Loi électorale</w:t>
      </w:r>
      <w:r>
        <w:rPr>
          <w:rStyle w:val="Appelnotedebasdep"/>
        </w:rPr>
        <w:footnoteReference w:id="7"/>
      </w:r>
      <w:r>
        <w:t>. D’abord, plutôt que durer huit mois, la période préélectorale des partis politiques ne durera que deux mois, soit du 1</w:t>
      </w:r>
      <w:r w:rsidRPr="00CF07DE">
        <w:rPr>
          <w:vertAlign w:val="superscript"/>
        </w:rPr>
        <w:t>er</w:t>
      </w:r>
      <w:r w:rsidRPr="00CF07DE">
        <w:t xml:space="preserve"> juillet</w:t>
      </w:r>
      <w:r>
        <w:t xml:space="preserve"> jusqu’au premier jour de la campagne électorale, et</w:t>
      </w:r>
      <w:r w:rsidRPr="00CF07DE">
        <w:t xml:space="preserve"> </w:t>
      </w:r>
      <w:r>
        <w:t>aucune autorisation préalable ne sera requise avant de diffuser des publicités préélectorales. De plus, un parti politique ayant effectué des dépenses de publicité préélectorale disposera de trois mois pour déposer le bilan</w:t>
      </w:r>
      <w:r w:rsidRPr="00CF07DE">
        <w:t xml:space="preserve"> </w:t>
      </w:r>
      <w:r>
        <w:t>de ces dépenses.</w:t>
      </w:r>
    </w:p>
    <w:p w14:paraId="443E4AD6" w14:textId="77777777" w:rsidR="008F26A1" w:rsidRPr="00CF07DE" w:rsidRDefault="008F26A1" w:rsidP="008F26A1">
      <w:pPr>
        <w:rPr>
          <w:b/>
          <w:bCs/>
        </w:rPr>
      </w:pPr>
      <w:r>
        <w:rPr>
          <w:b/>
          <w:bCs/>
        </w:rPr>
        <w:t xml:space="preserve">Que feront </w:t>
      </w:r>
      <w:r w:rsidRPr="00CF07DE">
        <w:rPr>
          <w:b/>
          <w:bCs/>
        </w:rPr>
        <w:t>les partis politiques</w:t>
      </w:r>
      <w:r>
        <w:rPr>
          <w:b/>
          <w:bCs/>
        </w:rPr>
        <w:t xml:space="preserve"> durant la </w:t>
      </w:r>
      <w:r w:rsidRPr="00CF07DE">
        <w:rPr>
          <w:b/>
          <w:bCs/>
        </w:rPr>
        <w:t xml:space="preserve">période préélectorale </w:t>
      </w:r>
      <w:r>
        <w:rPr>
          <w:b/>
          <w:bCs/>
        </w:rPr>
        <w:t>des tiers?</w:t>
      </w:r>
    </w:p>
    <w:p w14:paraId="24C9BA07" w14:textId="77777777" w:rsidR="008F26A1" w:rsidRDefault="008F26A1" w:rsidP="008F26A1">
      <w:r>
        <w:rPr>
          <w:rFonts w:cs="Nirmala UI Semilight"/>
          <w:color w:val="262626" w:themeColor="text1" w:themeTint="D9"/>
        </w:rPr>
        <w:t>Le DGEQ précise que l</w:t>
      </w:r>
      <w:r w:rsidRPr="00CF07DE">
        <w:t>a définition d’un tiers exclu</w:t>
      </w:r>
      <w:r>
        <w:t xml:space="preserve"> </w:t>
      </w:r>
      <w:r w:rsidRPr="00CF07DE">
        <w:t>les « </w:t>
      </w:r>
      <w:hyperlink r:id="rId19" w:history="1">
        <w:r w:rsidRPr="00CF07DE">
          <w:rPr>
            <w:rStyle w:val="Hyperlien"/>
          </w:rPr>
          <w:t>personnes députées, les partis politiques, les candidates et candidats à l’élection à venir, à l’investiture ou à la direction d’un parti et les personnes agissant pour leur compte </w:t>
        </w:r>
      </w:hyperlink>
      <w:r w:rsidRPr="00CF07DE">
        <w:t>»</w:t>
      </w:r>
      <w:r>
        <w:t xml:space="preserve">. </w:t>
      </w:r>
    </w:p>
    <w:p w14:paraId="69F2608D" w14:textId="77777777" w:rsidR="008F26A1" w:rsidRDefault="008F26A1" w:rsidP="008F26A1">
      <w:r>
        <w:t>Considérant que la période</w:t>
      </w:r>
      <w:r w:rsidRPr="00116693">
        <w:t xml:space="preserve"> </w:t>
      </w:r>
      <w:r w:rsidRPr="00CF07DE">
        <w:t>préélectorale pour les partis politiques</w:t>
      </w:r>
      <w:r>
        <w:t xml:space="preserve"> ne débutera que le 1</w:t>
      </w:r>
      <w:r w:rsidRPr="00116693">
        <w:rPr>
          <w:vertAlign w:val="superscript"/>
        </w:rPr>
        <w:t>er</w:t>
      </w:r>
      <w:r>
        <w:t xml:space="preserve"> juillet, cette définition signifie que les partis politiques</w:t>
      </w:r>
      <w:r w:rsidRPr="00CF07DE">
        <w:t xml:space="preserve"> </w:t>
      </w:r>
      <w:r>
        <w:t xml:space="preserve">n’auront aucune règle à suivre de janvier à la fin juin, soit </w:t>
      </w:r>
      <w:r w:rsidRPr="00CF07DE">
        <w:t>sans besoin d’autorisation supplémentaire ni d’identification sur les publicités produites</w:t>
      </w:r>
      <w:r>
        <w:t xml:space="preserve">. Mais aussi qu’ils </w:t>
      </w:r>
      <w:r w:rsidRPr="00CF07DE">
        <w:t xml:space="preserve">pourront faire toutes les dépenses voulues </w:t>
      </w:r>
      <w:r>
        <w:t>jusqu’au déclenchement de la campagne électorale, puisque les dépenses préélectorales ne sont pas comptabilisées dans les dépenses électorales.</w:t>
      </w:r>
    </w:p>
    <w:p w14:paraId="126F0267" w14:textId="68D6171F" w:rsidR="008F26A1" w:rsidRDefault="008F26A1" w:rsidP="008F26A1">
      <w:pPr>
        <w:rPr>
          <w:rFonts w:cs="Nirmala UI Semilight"/>
          <w:color w:val="262626" w:themeColor="text1" w:themeTint="D9"/>
        </w:rPr>
      </w:pPr>
      <w:r>
        <w:rPr>
          <w:rFonts w:cs="Nirmala UI Semilight"/>
          <w:color w:val="262626" w:themeColor="text1" w:themeTint="D9"/>
        </w:rPr>
        <w:t xml:space="preserve">Ainsi, alors que des organisations de la société civile devraient, pendant huit mois, limiter leurs </w:t>
      </w:r>
      <w:r w:rsidRPr="00CF07DE">
        <w:rPr>
          <w:rFonts w:cs="Nirmala UI Semilight"/>
          <w:color w:val="262626" w:themeColor="text1" w:themeTint="D9"/>
        </w:rPr>
        <w:t xml:space="preserve">communications publiques </w:t>
      </w:r>
      <w:r>
        <w:rPr>
          <w:rFonts w:cs="Nirmala UI Semilight"/>
          <w:color w:val="262626" w:themeColor="text1" w:themeTint="D9"/>
        </w:rPr>
        <w:t>ou en faire en s</w:t>
      </w:r>
      <w:r w:rsidRPr="00CF07DE">
        <w:rPr>
          <w:rFonts w:cs="Nirmala UI Semilight"/>
          <w:color w:val="262626" w:themeColor="text1" w:themeTint="D9"/>
        </w:rPr>
        <w:t>’identifi</w:t>
      </w:r>
      <w:r>
        <w:rPr>
          <w:rFonts w:cs="Nirmala UI Semilight"/>
          <w:color w:val="262626" w:themeColor="text1" w:themeTint="D9"/>
        </w:rPr>
        <w:t xml:space="preserve">ant </w:t>
      </w:r>
      <w:r w:rsidRPr="00CF07DE">
        <w:rPr>
          <w:rFonts w:cs="Nirmala UI Semilight"/>
          <w:color w:val="262626" w:themeColor="text1" w:themeTint="D9"/>
        </w:rPr>
        <w:t>sur celles-ci comme s’il s’agissait d’affiches électorales</w:t>
      </w:r>
      <w:r>
        <w:rPr>
          <w:rFonts w:cs="Nirmala UI Semilight"/>
          <w:color w:val="262626" w:themeColor="text1" w:themeTint="D9"/>
        </w:rPr>
        <w:t>, l</w:t>
      </w:r>
      <w:r w:rsidRPr="00CF07DE">
        <w:rPr>
          <w:rFonts w:cs="Nirmala UI Semilight"/>
          <w:color w:val="262626" w:themeColor="text1" w:themeTint="D9"/>
        </w:rPr>
        <w:t>es partis politiques s’exprimeront librement</w:t>
      </w:r>
      <w:r w:rsidRPr="002D6D4F">
        <w:rPr>
          <w:rFonts w:cs="Nirmala UI Semilight"/>
          <w:color w:val="262626" w:themeColor="text1" w:themeTint="D9"/>
        </w:rPr>
        <w:t xml:space="preserve"> </w:t>
      </w:r>
      <w:r w:rsidRPr="00CF07DE">
        <w:rPr>
          <w:rFonts w:cs="Nirmala UI Semilight"/>
          <w:color w:val="262626" w:themeColor="text1" w:themeTint="D9"/>
        </w:rPr>
        <w:t>durant la même période</w:t>
      </w:r>
      <w:r>
        <w:rPr>
          <w:rFonts w:cs="Nirmala UI Semilight"/>
          <w:color w:val="262626" w:themeColor="text1" w:themeTint="D9"/>
        </w:rPr>
        <w:t>.</w:t>
      </w:r>
    </w:p>
    <w:p w14:paraId="23052063" w14:textId="22A9D827" w:rsidR="00634AF8" w:rsidRDefault="008F26A1" w:rsidP="008F26A1">
      <w:pPr>
        <w:jc w:val="center"/>
      </w:pPr>
      <w:r>
        <w:t>____________</w:t>
      </w:r>
    </w:p>
    <w:p w14:paraId="517F289B" w14:textId="1937AE28" w:rsidR="00634AF8" w:rsidRPr="00634AF8" w:rsidRDefault="00634AF8" w:rsidP="00634AF8">
      <w:pPr>
        <w:rPr>
          <w:b/>
          <w:bCs/>
        </w:rPr>
      </w:pPr>
      <w:r w:rsidRPr="00634AF8">
        <w:rPr>
          <w:b/>
          <w:bCs/>
        </w:rPr>
        <w:t xml:space="preserve">Au 2 </w:t>
      </w:r>
      <w:r w:rsidRPr="00E178E7">
        <w:rPr>
          <w:b/>
          <w:bCs/>
        </w:rPr>
        <w:t>janvier 2026</w:t>
      </w:r>
      <w:r w:rsidRPr="00634AF8">
        <w:rPr>
          <w:b/>
          <w:bCs/>
        </w:rPr>
        <w:t>, l'information sur les nouvelles règles n'étant pas facilement disponible, voici des liens utiles.</w:t>
      </w:r>
    </w:p>
    <w:p w14:paraId="1645AD75" w14:textId="77777777" w:rsidR="00634AF8" w:rsidRPr="00634AF8" w:rsidRDefault="00634AF8" w:rsidP="00634AF8">
      <w:pPr>
        <w:rPr>
          <w:b/>
          <w:bCs/>
        </w:rPr>
      </w:pPr>
      <w:r w:rsidRPr="00634AF8">
        <w:rPr>
          <w:b/>
          <w:bCs/>
        </w:rPr>
        <w:t>Sur l'état de la Loi électorale</w:t>
      </w:r>
    </w:p>
    <w:p w14:paraId="0A1C319B" w14:textId="77777777" w:rsidR="00634AF8" w:rsidRPr="00CF07DE" w:rsidRDefault="00634AF8" w:rsidP="00634AF8">
      <w:pPr>
        <w:pStyle w:val="Paragraphedeliste"/>
        <w:numPr>
          <w:ilvl w:val="0"/>
          <w:numId w:val="12"/>
        </w:numPr>
      </w:pPr>
      <w:hyperlink r:id="rId20" w:history="1">
        <w:r w:rsidRPr="00CF07DE">
          <w:rPr>
            <w:rStyle w:val="Hyperlien"/>
          </w:rPr>
          <w:t>Loi électorale, version officielle du 24 octobre 2025 - en ligne au 28 décembre 2025</w:t>
        </w:r>
      </w:hyperlink>
      <w:r w:rsidRPr="00CF07DE">
        <w:t>, ne contenant pas les modifications apportées par le projet de loi 98.</w:t>
      </w:r>
    </w:p>
    <w:p w14:paraId="76A7C173" w14:textId="77777777" w:rsidR="00634AF8" w:rsidRPr="00CF07DE" w:rsidRDefault="00634AF8" w:rsidP="00634AF8">
      <w:pPr>
        <w:pStyle w:val="Paragraphedeliste"/>
        <w:numPr>
          <w:ilvl w:val="0"/>
          <w:numId w:val="12"/>
        </w:numPr>
      </w:pPr>
      <w:r w:rsidRPr="00CF07DE">
        <w:t>Document non officiel:</w:t>
      </w:r>
      <w:hyperlink r:id="rId21" w:history="1">
        <w:r w:rsidRPr="00CF07DE">
          <w:rPr>
            <w:rStyle w:val="Hyperlien"/>
          </w:rPr>
          <w:t xml:space="preserve"> Intégration des modifications apportées à la Loi électorale par le projet de loi 98</w:t>
        </w:r>
      </w:hyperlink>
      <w:r w:rsidRPr="00CF07DE">
        <w:t>.</w:t>
      </w:r>
    </w:p>
    <w:p w14:paraId="1CB5572F" w14:textId="77777777" w:rsidR="00634AF8" w:rsidRPr="00634AF8" w:rsidRDefault="00634AF8" w:rsidP="00634AF8">
      <w:pPr>
        <w:rPr>
          <w:b/>
          <w:bCs/>
        </w:rPr>
      </w:pPr>
      <w:r w:rsidRPr="00634AF8">
        <w:rPr>
          <w:b/>
          <w:bCs/>
        </w:rPr>
        <w:t xml:space="preserve">Sur le contenu du projet de loi 98 </w:t>
      </w:r>
    </w:p>
    <w:p w14:paraId="73DE6A08" w14:textId="77777777" w:rsidR="00634AF8" w:rsidRPr="00CF07DE" w:rsidRDefault="00634AF8" w:rsidP="00634AF8">
      <w:pPr>
        <w:pStyle w:val="Paragraphedeliste"/>
        <w:numPr>
          <w:ilvl w:val="0"/>
          <w:numId w:val="11"/>
        </w:numPr>
      </w:pPr>
      <w:r w:rsidRPr="00CF07DE">
        <w:t xml:space="preserve">Version </w:t>
      </w:r>
      <w:hyperlink r:id="rId22" w:history="1">
        <w:r w:rsidRPr="00CF07DE">
          <w:rPr>
            <w:rStyle w:val="Hyperlien"/>
          </w:rPr>
          <w:t>initiale du 3 avril 2025 projet de loi 98,</w:t>
        </w:r>
      </w:hyperlink>
      <w:r w:rsidRPr="00CF07DE">
        <w:t xml:space="preserve"> tel que déposé le 3 avril 2025. </w:t>
      </w:r>
    </w:p>
    <w:p w14:paraId="3696AB72" w14:textId="77777777" w:rsidR="00634AF8" w:rsidRPr="00CF07DE" w:rsidRDefault="00634AF8" w:rsidP="00634AF8">
      <w:pPr>
        <w:pStyle w:val="Paragraphedeliste"/>
        <w:numPr>
          <w:ilvl w:val="0"/>
          <w:numId w:val="11"/>
        </w:numPr>
      </w:pPr>
      <w:r w:rsidRPr="00CF07DE">
        <w:t>Version f</w:t>
      </w:r>
      <w:hyperlink r:id="rId23" w:history="1">
        <w:r w:rsidRPr="00CF07DE">
          <w:rPr>
            <w:rStyle w:val="Hyperlien"/>
          </w:rPr>
          <w:t>inale du projet de loi 98</w:t>
        </w:r>
      </w:hyperlink>
      <w:r w:rsidRPr="00CF07DE">
        <w:t xml:space="preserve">, tel que sanctionné le 30 mai 2025. </w:t>
      </w:r>
    </w:p>
    <w:p w14:paraId="4D3BF5AD" w14:textId="77777777" w:rsidR="00634AF8" w:rsidRPr="00CF07DE" w:rsidRDefault="00634AF8" w:rsidP="00634AF8">
      <w:pPr>
        <w:pStyle w:val="Paragraphedeliste"/>
        <w:numPr>
          <w:ilvl w:val="0"/>
          <w:numId w:val="11"/>
        </w:numPr>
      </w:pPr>
      <w:r w:rsidRPr="00CF07DE">
        <w:t xml:space="preserve">Document non officiel: </w:t>
      </w:r>
      <w:hyperlink r:id="rId24" w:history="1">
        <w:r w:rsidRPr="00CF07DE">
          <w:rPr>
            <w:rStyle w:val="Hyperlien"/>
          </w:rPr>
          <w:t>Comparaison entre la version initiale du 3 avril 2025 et la version sanctionnée le 30 mai 2025</w:t>
        </w:r>
      </w:hyperlink>
      <w:r w:rsidRPr="00CF07DE">
        <w:t xml:space="preserve"> du projet de loi 98.</w:t>
      </w:r>
    </w:p>
    <w:p w14:paraId="104CCFB5" w14:textId="77777777" w:rsidR="00634AF8" w:rsidRPr="00634AF8" w:rsidRDefault="00634AF8" w:rsidP="00634AF8">
      <w:pPr>
        <w:rPr>
          <w:b/>
          <w:bCs/>
        </w:rPr>
      </w:pPr>
      <w:r w:rsidRPr="00634AF8">
        <w:rPr>
          <w:b/>
          <w:bCs/>
        </w:rPr>
        <w:t>Étapes parlementaires autour du projet de loi 98</w:t>
      </w:r>
    </w:p>
    <w:p w14:paraId="6DC90EC5" w14:textId="77777777" w:rsidR="00634AF8" w:rsidRPr="00CF07DE" w:rsidRDefault="00634AF8" w:rsidP="00634AF8">
      <w:pPr>
        <w:pStyle w:val="Paragraphedeliste"/>
        <w:numPr>
          <w:ilvl w:val="0"/>
          <w:numId w:val="10"/>
        </w:numPr>
      </w:pPr>
      <w:r w:rsidRPr="00CF07DE">
        <w:t xml:space="preserve">Étapes de </w:t>
      </w:r>
      <w:hyperlink r:id="rId25" w:history="1">
        <w:r w:rsidRPr="00CF07DE">
          <w:rPr>
            <w:rStyle w:val="Hyperlien"/>
          </w:rPr>
          <w:t xml:space="preserve">cheminement du projet de loi 98 </w:t>
        </w:r>
      </w:hyperlink>
      <w:r w:rsidRPr="00CF07DE">
        <w:t>du 3 avril au 30 mai 2025</w:t>
      </w:r>
    </w:p>
    <w:p w14:paraId="5548885C" w14:textId="77777777" w:rsidR="00634AF8" w:rsidRPr="00CF07DE" w:rsidRDefault="00634AF8" w:rsidP="00634AF8">
      <w:pPr>
        <w:pStyle w:val="Paragraphedeliste"/>
        <w:numPr>
          <w:ilvl w:val="0"/>
          <w:numId w:val="10"/>
        </w:numPr>
      </w:pPr>
      <w:r w:rsidRPr="00CF07DE">
        <w:t xml:space="preserve">Séance du 23 avril 2025 pour les </w:t>
      </w:r>
      <w:hyperlink r:id="rId26" w:history="1">
        <w:r w:rsidRPr="00CF07DE">
          <w:rPr>
            <w:rStyle w:val="Hyperlien"/>
          </w:rPr>
          <w:t>consultations particulières et auditions publiques sur le projet de loi 98</w:t>
        </w:r>
      </w:hyperlink>
    </w:p>
    <w:p w14:paraId="5AA427BB" w14:textId="77777777" w:rsidR="00634AF8" w:rsidRPr="00CF07DE" w:rsidRDefault="00634AF8" w:rsidP="00634AF8">
      <w:pPr>
        <w:pStyle w:val="Paragraphedeliste"/>
        <w:numPr>
          <w:ilvl w:val="0"/>
          <w:numId w:val="10"/>
        </w:numPr>
      </w:pPr>
      <w:r w:rsidRPr="00CF07DE">
        <w:t>Séances des 21, 27 et 28 mai 2025 pour l'</w:t>
      </w:r>
      <w:hyperlink r:id="rId27" w:history="1">
        <w:r w:rsidRPr="00CF07DE">
          <w:rPr>
            <w:rStyle w:val="Hyperlien"/>
          </w:rPr>
          <w:t>étude détaillée du projet de loi 98</w:t>
        </w:r>
      </w:hyperlink>
    </w:p>
    <w:p w14:paraId="669529DE" w14:textId="77777777" w:rsidR="00634AF8" w:rsidRPr="00CF07DE" w:rsidRDefault="00634AF8" w:rsidP="00634AF8">
      <w:pPr>
        <w:pStyle w:val="Paragraphedeliste"/>
        <w:numPr>
          <w:ilvl w:val="0"/>
          <w:numId w:val="10"/>
        </w:numPr>
      </w:pPr>
      <w:r w:rsidRPr="00CF07DE">
        <w:t xml:space="preserve">Les </w:t>
      </w:r>
      <w:hyperlink r:id="rId28" w:history="1">
        <w:r w:rsidRPr="00CF07DE">
          <w:rPr>
            <w:rStyle w:val="Hyperlien"/>
          </w:rPr>
          <w:t>8 mémoires déposés le 23 avril</w:t>
        </w:r>
      </w:hyperlink>
      <w:r w:rsidRPr="00CF07DE">
        <w:t xml:space="preserve"> et les </w:t>
      </w:r>
      <w:hyperlink r:id="rId29" w:history="1">
        <w:r w:rsidRPr="00CF07DE">
          <w:rPr>
            <w:rStyle w:val="Hyperlien"/>
          </w:rPr>
          <w:t>2 mémoires déposés le 28 mai</w:t>
        </w:r>
      </w:hyperlink>
      <w:r w:rsidRPr="00CF07DE">
        <w:t xml:space="preserve"> 2025</w:t>
      </w:r>
    </w:p>
    <w:p w14:paraId="037409EF" w14:textId="77777777" w:rsidR="00634AF8" w:rsidRPr="00CF07DE" w:rsidRDefault="00634AF8" w:rsidP="00634AF8">
      <w:pPr>
        <w:pStyle w:val="Paragraphedeliste"/>
        <w:numPr>
          <w:ilvl w:val="0"/>
          <w:numId w:val="10"/>
        </w:numPr>
      </w:pPr>
      <w:r w:rsidRPr="00CF07DE">
        <w:t xml:space="preserve">Allocution du ministre </w:t>
      </w:r>
      <w:hyperlink r:id="rId30" w:anchor="_Toc199771672" w:history="1">
        <w:r w:rsidRPr="00CF07DE">
          <w:rPr>
            <w:rStyle w:val="Hyperlien"/>
          </w:rPr>
          <w:t>Jean-François Roberge lors de l'adoption du projet de loi 98</w:t>
        </w:r>
      </w:hyperlink>
      <w:r w:rsidRPr="00CF07DE">
        <w:t xml:space="preserve"> le 29 mai 2025</w:t>
      </w:r>
    </w:p>
    <w:p w14:paraId="15ADD8F6" w14:textId="77777777" w:rsidR="00634AF8" w:rsidRPr="00634AF8" w:rsidRDefault="00634AF8" w:rsidP="00634AF8">
      <w:pPr>
        <w:rPr>
          <w:b/>
          <w:bCs/>
        </w:rPr>
      </w:pPr>
      <w:r w:rsidRPr="00634AF8">
        <w:rPr>
          <w:b/>
          <w:bCs/>
        </w:rPr>
        <w:t>Informations transmises par le Directeur général des élections</w:t>
      </w:r>
    </w:p>
    <w:p w14:paraId="4969259D" w14:textId="77777777" w:rsidR="00634AF8" w:rsidRPr="00CF07DE" w:rsidRDefault="00634AF8" w:rsidP="00634AF8">
      <w:pPr>
        <w:pStyle w:val="Paragraphedeliste"/>
        <w:numPr>
          <w:ilvl w:val="0"/>
          <w:numId w:val="9"/>
        </w:numPr>
      </w:pPr>
      <w:r w:rsidRPr="00CF07DE">
        <w:t xml:space="preserve">Guide </w:t>
      </w:r>
      <w:hyperlink r:id="rId31" w:history="1">
        <w:r w:rsidRPr="00CF07DE">
          <w:rPr>
            <w:rStyle w:val="Hyperlien"/>
            <w:i/>
            <w:iCs/>
          </w:rPr>
          <w:t>Dépenses de publicité préélectorale partisane des tiers</w:t>
        </w:r>
      </w:hyperlink>
      <w:r w:rsidRPr="00CF07DE">
        <w:t xml:space="preserve"> (DGEQ-730 - mis en ligne le 18-12-2025)</w:t>
      </w:r>
    </w:p>
    <w:p w14:paraId="0063F161" w14:textId="77777777" w:rsidR="00634AF8" w:rsidRPr="00CF07DE" w:rsidRDefault="00634AF8" w:rsidP="00634AF8">
      <w:pPr>
        <w:pStyle w:val="Paragraphedeliste"/>
        <w:numPr>
          <w:ilvl w:val="0"/>
          <w:numId w:val="9"/>
        </w:numPr>
      </w:pPr>
      <w:r w:rsidRPr="00CF07DE">
        <w:t xml:space="preserve">Page </w:t>
      </w:r>
      <w:hyperlink r:id="rId32" w:history="1">
        <w:r w:rsidRPr="00CF07DE">
          <w:rPr>
            <w:rStyle w:val="Hyperlien"/>
          </w:rPr>
          <w:t>Dépenses de publicité partisane avant le début de la période électorale provinciale</w:t>
        </w:r>
      </w:hyperlink>
      <w:r w:rsidRPr="00CF07DE">
        <w:t xml:space="preserve"> (mise en ligne le 18-12-2025)</w:t>
      </w:r>
    </w:p>
    <w:p w14:paraId="61D4E67A" w14:textId="152FCCB7" w:rsidR="00634AF8" w:rsidRPr="00CF07DE" w:rsidRDefault="00634AF8" w:rsidP="00634AF8">
      <w:pPr>
        <w:pStyle w:val="Paragraphedeliste"/>
        <w:numPr>
          <w:ilvl w:val="0"/>
          <w:numId w:val="9"/>
        </w:numPr>
      </w:pPr>
      <w:r w:rsidRPr="00CF07DE">
        <w:t xml:space="preserve">Page </w:t>
      </w:r>
      <w:hyperlink r:id="rId33" w:history="1">
        <w:r w:rsidRPr="00CF07DE">
          <w:rPr>
            <w:rStyle w:val="Hyperlien"/>
          </w:rPr>
          <w:t>Tiers enregistrés pour faire de la publicité partisane</w:t>
        </w:r>
      </w:hyperlink>
      <w:r w:rsidRPr="00CF07DE">
        <w:t xml:space="preserve"> (page vide au 28-12-2025)</w:t>
      </w:r>
    </w:p>
    <w:p w14:paraId="3F9ACC7C" w14:textId="77777777" w:rsidR="00634AF8" w:rsidRPr="00CF07DE" w:rsidRDefault="00634AF8" w:rsidP="00634AF8">
      <w:pPr>
        <w:pStyle w:val="Paragraphedeliste"/>
        <w:numPr>
          <w:ilvl w:val="0"/>
          <w:numId w:val="9"/>
        </w:numPr>
      </w:pPr>
      <w:r w:rsidRPr="00CF07DE">
        <w:t xml:space="preserve">Page </w:t>
      </w:r>
      <w:hyperlink r:id="rId34" w:history="1">
        <w:r w:rsidRPr="00CF07DE">
          <w:rPr>
            <w:rStyle w:val="Hyperlien"/>
          </w:rPr>
          <w:t>Avis d’intention d’un tiers comptant diffuser de la publicité préélectorale partisane</w:t>
        </w:r>
      </w:hyperlink>
      <w:r w:rsidRPr="00CF07DE">
        <w:t xml:space="preserve"> (page vide au 28-12-2025)</w:t>
      </w:r>
    </w:p>
    <w:p w14:paraId="30A375AF" w14:textId="5CDF74E7" w:rsidR="00634AF8" w:rsidRPr="00634AF8" w:rsidRDefault="00634AF8" w:rsidP="00634AF8">
      <w:pPr>
        <w:rPr>
          <w:b/>
          <w:bCs/>
        </w:rPr>
      </w:pPr>
      <w:r w:rsidRPr="00634AF8">
        <w:rPr>
          <w:b/>
          <w:bCs/>
        </w:rPr>
        <w:t xml:space="preserve">Documents </w:t>
      </w:r>
      <w:r w:rsidRPr="00CF07DE">
        <w:rPr>
          <w:b/>
          <w:bCs/>
        </w:rPr>
        <w:t>annoncés</w:t>
      </w:r>
      <w:r w:rsidR="005905E1">
        <w:rPr>
          <w:b/>
          <w:bCs/>
        </w:rPr>
        <w:t>,</w:t>
      </w:r>
      <w:r w:rsidRPr="00634AF8">
        <w:rPr>
          <w:b/>
          <w:bCs/>
        </w:rPr>
        <w:t xml:space="preserve"> mais non diffusés (au 28-12-2025):</w:t>
      </w:r>
    </w:p>
    <w:p w14:paraId="09E67CBD" w14:textId="445C0498" w:rsidR="00634AF8" w:rsidRPr="00CF07DE" w:rsidRDefault="00634AF8" w:rsidP="00634AF8">
      <w:pPr>
        <w:pStyle w:val="Paragraphedeliste"/>
        <w:numPr>
          <w:ilvl w:val="0"/>
          <w:numId w:val="8"/>
        </w:numPr>
      </w:pPr>
      <w:r w:rsidRPr="00CF07DE">
        <w:t>Bilan des dépenses de publicité préélectorale partisane d’un tiers (À venir – PDF – DGE-731)</w:t>
      </w:r>
    </w:p>
    <w:p w14:paraId="6A4C210B" w14:textId="1F68C008" w:rsidR="00634AF8" w:rsidRPr="00CF07DE" w:rsidRDefault="00634AF8" w:rsidP="00634AF8">
      <w:pPr>
        <w:pStyle w:val="Paragraphedeliste"/>
        <w:numPr>
          <w:ilvl w:val="0"/>
          <w:numId w:val="8"/>
        </w:numPr>
      </w:pPr>
      <w:r w:rsidRPr="00CF07DE">
        <w:t>Avis d’intention – Dépenses préélectorales d’un groupe à titre de tiers (À venir – PDF – DGE-732)</w:t>
      </w:r>
    </w:p>
    <w:p w14:paraId="059CA0A8" w14:textId="7FBD3864" w:rsidR="00634AF8" w:rsidRPr="00CF07DE" w:rsidRDefault="00634AF8" w:rsidP="00634AF8">
      <w:pPr>
        <w:pStyle w:val="Paragraphedeliste"/>
        <w:numPr>
          <w:ilvl w:val="0"/>
          <w:numId w:val="8"/>
        </w:numPr>
      </w:pPr>
      <w:r w:rsidRPr="00CF07DE">
        <w:t>Avis d’intention – Dépenses préélectorales d’un tiers – Personne physique (À venir – PDF – DGE-733)</w:t>
      </w:r>
    </w:p>
    <w:p w14:paraId="64CBF198" w14:textId="557D5860" w:rsidR="00634AF8" w:rsidRPr="00CF07DE" w:rsidRDefault="00634AF8" w:rsidP="00634AF8">
      <w:pPr>
        <w:pStyle w:val="Paragraphedeliste"/>
        <w:numPr>
          <w:ilvl w:val="0"/>
          <w:numId w:val="8"/>
        </w:numPr>
      </w:pPr>
      <w:r w:rsidRPr="00CF07DE">
        <w:t>Demande de délai supplémentaire (À venir – PDF – DGE-734)</w:t>
      </w:r>
    </w:p>
    <w:p w14:paraId="7F0046A1" w14:textId="30FFECAE" w:rsidR="00634AF8" w:rsidRPr="00CF07DE" w:rsidRDefault="00634AF8" w:rsidP="00634AF8">
      <w:pPr>
        <w:pStyle w:val="Paragraphedeliste"/>
        <w:numPr>
          <w:ilvl w:val="0"/>
          <w:numId w:val="8"/>
        </w:numPr>
      </w:pPr>
      <w:r w:rsidRPr="00CF07DE">
        <w:t>Directive D-36 (À venir – PDF)</w:t>
      </w:r>
    </w:p>
    <w:p w14:paraId="47C7825B" w14:textId="7C33652B" w:rsidR="00634AF8" w:rsidRPr="00CF07DE" w:rsidRDefault="00634AF8">
      <w:pPr>
        <w:rPr>
          <w:b/>
          <w:bCs/>
        </w:rPr>
      </w:pPr>
    </w:p>
    <w:sectPr w:rsidR="00634AF8" w:rsidRPr="00CF07DE" w:rsidSect="00B2642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93345" w14:textId="77777777" w:rsidR="00D40A0A" w:rsidRDefault="00D40A0A" w:rsidP="006B2BB0">
      <w:pPr>
        <w:spacing w:before="0" w:after="0"/>
      </w:pPr>
      <w:r>
        <w:separator/>
      </w:r>
    </w:p>
  </w:endnote>
  <w:endnote w:type="continuationSeparator" w:id="0">
    <w:p w14:paraId="432749F8" w14:textId="77777777" w:rsidR="00D40A0A" w:rsidRDefault="00D40A0A" w:rsidP="006B2B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Nirmala UI Semilight">
    <w:panose1 w:val="020B04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F8ED7" w14:textId="77777777" w:rsidR="00D40A0A" w:rsidRDefault="00D40A0A" w:rsidP="006B2BB0">
      <w:pPr>
        <w:spacing w:before="0" w:after="0"/>
      </w:pPr>
      <w:r>
        <w:separator/>
      </w:r>
    </w:p>
  </w:footnote>
  <w:footnote w:type="continuationSeparator" w:id="0">
    <w:p w14:paraId="107450AF" w14:textId="77777777" w:rsidR="00D40A0A" w:rsidRDefault="00D40A0A" w:rsidP="006B2BB0">
      <w:pPr>
        <w:spacing w:before="0" w:after="0"/>
      </w:pPr>
      <w:r>
        <w:continuationSeparator/>
      </w:r>
    </w:p>
  </w:footnote>
  <w:footnote w:id="1">
    <w:p w14:paraId="3E9A5359" w14:textId="49A00941" w:rsidR="00A20262" w:rsidRPr="00A20262" w:rsidRDefault="00A20262" w:rsidP="00A20262">
      <w:pPr>
        <w:pStyle w:val="Notedebasdepage"/>
        <w:spacing w:beforeAutospacing="0" w:afterAutospacing="0"/>
      </w:pPr>
      <w:r w:rsidRPr="00A20262">
        <w:rPr>
          <w:rStyle w:val="Appelnotedebasdep"/>
        </w:rPr>
        <w:footnoteRef/>
      </w:r>
      <w:r w:rsidRPr="00A20262">
        <w:t xml:space="preserve"> À l’approche de la campagne électorale, la </w:t>
      </w:r>
      <w:hyperlink r:id="rId1" w:history="1">
        <w:r w:rsidRPr="00A20262">
          <w:rPr>
            <w:rStyle w:val="Hyperlien"/>
          </w:rPr>
          <w:t>Table des regroupements provinciaux d’organismes communautaires et bénévoles</w:t>
        </w:r>
      </w:hyperlink>
      <w:r w:rsidRPr="00A20262">
        <w:t xml:space="preserve"> mettra à jour le document qu’elle produit à chaque élection à l’intention des groupes communautaires. Il rappellera la</w:t>
      </w:r>
      <w:r w:rsidRPr="00A20262">
        <w:rPr>
          <w:rFonts w:cs="Nirmala UI Semilight"/>
          <w:color w:val="262626" w:themeColor="text1" w:themeTint="D9"/>
        </w:rPr>
        <w:t xml:space="preserve"> portée de la Loi et présentera des suggestions quant aux façons de possibles de continuer de s’exprimer.</w:t>
      </w:r>
    </w:p>
  </w:footnote>
  <w:footnote w:id="2">
    <w:p w14:paraId="790BFFAE" w14:textId="707F8228" w:rsidR="00A20262" w:rsidRPr="00A20262" w:rsidRDefault="00A20262" w:rsidP="00A20262">
      <w:pPr>
        <w:pStyle w:val="Notedebasdepage"/>
        <w:spacing w:beforeAutospacing="0" w:afterAutospacing="0"/>
      </w:pPr>
      <w:r w:rsidRPr="00A20262">
        <w:rPr>
          <w:rStyle w:val="Appelnotedebasdep"/>
        </w:rPr>
        <w:footnoteRef/>
      </w:r>
      <w:r w:rsidRPr="00A20262">
        <w:t xml:space="preserve"> </w:t>
      </w:r>
      <w:r w:rsidRPr="00A20262">
        <w:rPr>
          <w:rFonts w:cs="Nirmala UI Semilight"/>
          <w:color w:val="262626" w:themeColor="text1" w:themeTint="D9"/>
        </w:rPr>
        <w:t>La</w:t>
      </w:r>
      <w:r w:rsidRPr="00A20262">
        <w:t xml:space="preserve"> </w:t>
      </w:r>
      <w:hyperlink r:id="rId2" w:history="1">
        <w:r w:rsidRPr="00A20262">
          <w:rPr>
            <w:rStyle w:val="Hyperlien"/>
          </w:rPr>
          <w:t>Table des regroupements provinciaux d’organismes communautaires et bénévoles</w:t>
        </w:r>
      </w:hyperlink>
      <w:r w:rsidRPr="00A20262">
        <w:t xml:space="preserve"> produira sous peu un document à l’intention des groupes communautaires relativement à la période préélectorale des tiers. Il expliquera les changements</w:t>
      </w:r>
      <w:r w:rsidRPr="00A20262">
        <w:rPr>
          <w:rFonts w:cs="Nirmala UI Semilight"/>
          <w:color w:val="262626" w:themeColor="text1" w:themeTint="D9"/>
        </w:rPr>
        <w:t xml:space="preserve"> et présentera des suggestions quant aux façons de possibles de continuer de s’exprimer</w:t>
      </w:r>
      <w:r w:rsidRPr="00A20262">
        <w:t>.</w:t>
      </w:r>
    </w:p>
  </w:footnote>
  <w:footnote w:id="3">
    <w:p w14:paraId="2FC663B9" w14:textId="77777777" w:rsidR="007833AC" w:rsidRPr="00A20262" w:rsidRDefault="007833AC" w:rsidP="00A20262">
      <w:pPr>
        <w:pStyle w:val="Notedebasdepage"/>
        <w:spacing w:beforeAutospacing="0" w:afterAutospacing="0"/>
      </w:pPr>
      <w:r w:rsidRPr="00A20262">
        <w:rPr>
          <w:rStyle w:val="Appelnotedebasdep"/>
        </w:rPr>
        <w:footnoteRef/>
      </w:r>
      <w:r w:rsidRPr="00A20262">
        <w:t xml:space="preserve"> For</w:t>
      </w:r>
      <w:r w:rsidRPr="00A20262">
        <w:rPr>
          <w:spacing w:val="-6"/>
          <w:w w:val="90"/>
        </w:rPr>
        <w:t>mulaire DGE-732 – non disponible au 2 janvier 2026</w:t>
      </w:r>
    </w:p>
  </w:footnote>
  <w:footnote w:id="4">
    <w:p w14:paraId="68EC7C55" w14:textId="77777777" w:rsidR="007833AC" w:rsidRPr="00A20262" w:rsidRDefault="007833AC" w:rsidP="00A20262">
      <w:pPr>
        <w:pStyle w:val="Notedebasdepage"/>
        <w:spacing w:beforeAutospacing="0" w:afterAutospacing="0"/>
      </w:pPr>
      <w:r w:rsidRPr="00A20262">
        <w:rPr>
          <w:rStyle w:val="Appelnotedebasdep"/>
        </w:rPr>
        <w:footnoteRef/>
      </w:r>
      <w:r w:rsidRPr="00A20262">
        <w:t xml:space="preserve"> For</w:t>
      </w:r>
      <w:r w:rsidRPr="00A20262">
        <w:rPr>
          <w:spacing w:val="-6"/>
          <w:w w:val="90"/>
        </w:rPr>
        <w:t>mulaire DGE-733 – non disponible au 2 janvier 2026</w:t>
      </w:r>
    </w:p>
  </w:footnote>
  <w:footnote w:id="5">
    <w:p w14:paraId="536AB7B2" w14:textId="77777777" w:rsidR="007833AC" w:rsidRPr="00A20262" w:rsidRDefault="007833AC" w:rsidP="00A20262">
      <w:pPr>
        <w:pStyle w:val="Notedebasdepage"/>
        <w:spacing w:beforeAutospacing="0" w:afterAutospacing="0"/>
      </w:pPr>
      <w:r w:rsidRPr="00A20262">
        <w:rPr>
          <w:rStyle w:val="Appelnotedebasdep"/>
        </w:rPr>
        <w:footnoteRef/>
      </w:r>
      <w:r w:rsidRPr="00A20262">
        <w:t xml:space="preserve"> For</w:t>
      </w:r>
      <w:r w:rsidRPr="00A20262">
        <w:rPr>
          <w:spacing w:val="-6"/>
          <w:w w:val="90"/>
        </w:rPr>
        <w:t xml:space="preserve">mulaire DGE-731 selon les règles de </w:t>
      </w:r>
      <w:r w:rsidRPr="00A20262">
        <w:t xml:space="preserve">la directive D-36 </w:t>
      </w:r>
      <w:r w:rsidRPr="00A20262">
        <w:rPr>
          <w:spacing w:val="-6"/>
          <w:w w:val="90"/>
        </w:rPr>
        <w:t xml:space="preserve">– non disponibles au 2 janvier 2026, </w:t>
      </w:r>
    </w:p>
  </w:footnote>
  <w:footnote w:id="6">
    <w:p w14:paraId="2273D1FD" w14:textId="21971DFF" w:rsidR="005676CE" w:rsidRPr="00A20262" w:rsidRDefault="005676CE" w:rsidP="00A20262">
      <w:pPr>
        <w:spacing w:before="0" w:beforeAutospacing="0" w:after="0" w:afterAutospacing="0"/>
      </w:pPr>
      <w:r w:rsidRPr="00A20262">
        <w:rPr>
          <w:rStyle w:val="Appelnotedebasdep"/>
        </w:rPr>
        <w:footnoteRef/>
      </w:r>
      <w:r w:rsidRPr="00A20262">
        <w:t xml:space="preserve"> </w:t>
      </w:r>
      <w:hyperlink r:id="rId3" w:history="1">
        <w:r w:rsidRPr="00A20262">
          <w:rPr>
            <w:rStyle w:val="Hyperlien"/>
          </w:rPr>
          <w:t>https://www.electionsquebec.qc.ca/comprendre/comprendre-le-financement-politique/depenses-de-publicite-partisane-avant-le-debut-de-la-periode-electorale-provinciale/</w:t>
        </w:r>
      </w:hyperlink>
    </w:p>
  </w:footnote>
  <w:footnote w:id="7">
    <w:p w14:paraId="47BBE297" w14:textId="77777777" w:rsidR="008F26A1" w:rsidRPr="00A20262" w:rsidRDefault="008F26A1" w:rsidP="00A20262">
      <w:pPr>
        <w:pStyle w:val="Notedebasdepage"/>
        <w:spacing w:beforeAutospacing="0" w:afterAutospacing="0"/>
      </w:pPr>
      <w:r w:rsidRPr="00A20262">
        <w:rPr>
          <w:rStyle w:val="Appelnotedebasdep"/>
        </w:rPr>
        <w:footnoteRef/>
      </w:r>
      <w:r w:rsidRPr="00A20262">
        <w:t xml:space="preserve"> Au 2 janvier 2026, le DGEQ n’a publié aucune information sur cette période, ni aucun guide ou directive à ce sujet.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723ED"/>
    <w:multiLevelType w:val="hybridMultilevel"/>
    <w:tmpl w:val="2A5454B6"/>
    <w:lvl w:ilvl="0" w:tplc="0C0C000F">
      <w:start w:val="1"/>
      <w:numFmt w:val="decimal"/>
      <w:lvlText w:val="%1."/>
      <w:lvlJc w:val="left"/>
      <w:pPr>
        <w:ind w:left="846" w:hanging="360"/>
      </w:pPr>
    </w:lvl>
    <w:lvl w:ilvl="1" w:tplc="0C0C0019" w:tentative="1">
      <w:start w:val="1"/>
      <w:numFmt w:val="lowerLetter"/>
      <w:lvlText w:val="%2."/>
      <w:lvlJc w:val="left"/>
      <w:pPr>
        <w:ind w:left="1566" w:hanging="360"/>
      </w:pPr>
    </w:lvl>
    <w:lvl w:ilvl="2" w:tplc="0C0C001B" w:tentative="1">
      <w:start w:val="1"/>
      <w:numFmt w:val="lowerRoman"/>
      <w:lvlText w:val="%3."/>
      <w:lvlJc w:val="right"/>
      <w:pPr>
        <w:ind w:left="2286" w:hanging="180"/>
      </w:pPr>
    </w:lvl>
    <w:lvl w:ilvl="3" w:tplc="0C0C000F" w:tentative="1">
      <w:start w:val="1"/>
      <w:numFmt w:val="decimal"/>
      <w:lvlText w:val="%4."/>
      <w:lvlJc w:val="left"/>
      <w:pPr>
        <w:ind w:left="3006" w:hanging="360"/>
      </w:pPr>
    </w:lvl>
    <w:lvl w:ilvl="4" w:tplc="0C0C0019" w:tentative="1">
      <w:start w:val="1"/>
      <w:numFmt w:val="lowerLetter"/>
      <w:lvlText w:val="%5."/>
      <w:lvlJc w:val="left"/>
      <w:pPr>
        <w:ind w:left="3726" w:hanging="360"/>
      </w:pPr>
    </w:lvl>
    <w:lvl w:ilvl="5" w:tplc="0C0C001B" w:tentative="1">
      <w:start w:val="1"/>
      <w:numFmt w:val="lowerRoman"/>
      <w:lvlText w:val="%6."/>
      <w:lvlJc w:val="right"/>
      <w:pPr>
        <w:ind w:left="4446" w:hanging="180"/>
      </w:pPr>
    </w:lvl>
    <w:lvl w:ilvl="6" w:tplc="0C0C000F" w:tentative="1">
      <w:start w:val="1"/>
      <w:numFmt w:val="decimal"/>
      <w:lvlText w:val="%7."/>
      <w:lvlJc w:val="left"/>
      <w:pPr>
        <w:ind w:left="5166" w:hanging="360"/>
      </w:pPr>
    </w:lvl>
    <w:lvl w:ilvl="7" w:tplc="0C0C0019" w:tentative="1">
      <w:start w:val="1"/>
      <w:numFmt w:val="lowerLetter"/>
      <w:lvlText w:val="%8."/>
      <w:lvlJc w:val="left"/>
      <w:pPr>
        <w:ind w:left="5886" w:hanging="360"/>
      </w:pPr>
    </w:lvl>
    <w:lvl w:ilvl="8" w:tplc="0C0C001B" w:tentative="1">
      <w:start w:val="1"/>
      <w:numFmt w:val="lowerRoman"/>
      <w:lvlText w:val="%9."/>
      <w:lvlJc w:val="right"/>
      <w:pPr>
        <w:ind w:left="6606" w:hanging="180"/>
      </w:pPr>
    </w:lvl>
  </w:abstractNum>
  <w:abstractNum w:abstractNumId="1" w15:restartNumberingAfterBreak="0">
    <w:nsid w:val="14134A2E"/>
    <w:multiLevelType w:val="hybridMultilevel"/>
    <w:tmpl w:val="F1BA2E36"/>
    <w:lvl w:ilvl="0" w:tplc="7E6451DC">
      <w:numFmt w:val="bullet"/>
      <w:lvlText w:val="•"/>
      <w:lvlJc w:val="left"/>
      <w:pPr>
        <w:ind w:left="720" w:hanging="360"/>
      </w:pPr>
      <w:rPr>
        <w:rFonts w:ascii="Arial Narrow" w:eastAsiaTheme="minorHAnsi" w:hAnsi="Arial Narrow"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57C66D7"/>
    <w:multiLevelType w:val="multilevel"/>
    <w:tmpl w:val="6EB8F062"/>
    <w:lvl w:ilvl="0">
      <w:start w:val="1"/>
      <w:numFmt w:val="bullet"/>
      <w:lvlText w:val=""/>
      <w:lvlJc w:val="left"/>
      <w:pPr>
        <w:ind w:left="600" w:hanging="600"/>
      </w:pPr>
      <w:rPr>
        <w:rFonts w:ascii="Symbol" w:hAnsi="Symbol" w:hint="default"/>
        <w:lang w:val="fr-FR" w:eastAsia="en-US" w:bidi="ar-SA"/>
      </w:rPr>
    </w:lvl>
    <w:lvl w:ilvl="1">
      <w:start w:val="1"/>
      <w:numFmt w:val="decimal"/>
      <w:lvlText w:val="%1.%2"/>
      <w:lvlJc w:val="left"/>
      <w:pPr>
        <w:ind w:left="600" w:hanging="600"/>
      </w:pPr>
      <w:rPr>
        <w:rFonts w:ascii="Tahoma" w:eastAsia="Tahoma" w:hAnsi="Tahoma" w:cs="Tahoma" w:hint="default"/>
        <w:b/>
        <w:bCs/>
        <w:i w:val="0"/>
        <w:iCs w:val="0"/>
        <w:spacing w:val="0"/>
        <w:w w:val="74"/>
        <w:sz w:val="32"/>
        <w:szCs w:val="32"/>
        <w:lang w:val="fr-FR" w:eastAsia="en-US" w:bidi="ar-SA"/>
      </w:rPr>
    </w:lvl>
    <w:lvl w:ilvl="2">
      <w:numFmt w:val="bullet"/>
      <w:lvlText w:val="•"/>
      <w:lvlJc w:val="left"/>
      <w:pPr>
        <w:ind w:left="240" w:hanging="240"/>
      </w:pPr>
      <w:rPr>
        <w:rFonts w:ascii="Verdana" w:eastAsia="Verdana" w:hAnsi="Verdana" w:cs="Verdana" w:hint="default"/>
        <w:b w:val="0"/>
        <w:bCs w:val="0"/>
        <w:i w:val="0"/>
        <w:iCs w:val="0"/>
        <w:spacing w:val="0"/>
        <w:w w:val="96"/>
        <w:position w:val="3"/>
        <w:sz w:val="16"/>
        <w:szCs w:val="16"/>
        <w:lang w:val="fr-FR" w:eastAsia="en-US" w:bidi="ar-SA"/>
      </w:rPr>
    </w:lvl>
    <w:lvl w:ilvl="3">
      <w:numFmt w:val="bullet"/>
      <w:lvlText w:val="•"/>
      <w:lvlJc w:val="left"/>
      <w:pPr>
        <w:ind w:left="2573" w:hanging="240"/>
      </w:pPr>
      <w:rPr>
        <w:lang w:val="fr-FR" w:eastAsia="en-US" w:bidi="ar-SA"/>
      </w:rPr>
    </w:lvl>
    <w:lvl w:ilvl="4">
      <w:numFmt w:val="bullet"/>
      <w:lvlText w:val="•"/>
      <w:lvlJc w:val="left"/>
      <w:pPr>
        <w:ind w:left="3560" w:hanging="240"/>
      </w:pPr>
      <w:rPr>
        <w:lang w:val="fr-FR" w:eastAsia="en-US" w:bidi="ar-SA"/>
      </w:rPr>
    </w:lvl>
    <w:lvl w:ilvl="5">
      <w:numFmt w:val="bullet"/>
      <w:lvlText w:val="•"/>
      <w:lvlJc w:val="left"/>
      <w:pPr>
        <w:ind w:left="4546" w:hanging="240"/>
      </w:pPr>
      <w:rPr>
        <w:lang w:val="fr-FR" w:eastAsia="en-US" w:bidi="ar-SA"/>
      </w:rPr>
    </w:lvl>
    <w:lvl w:ilvl="6">
      <w:numFmt w:val="bullet"/>
      <w:lvlText w:val="•"/>
      <w:lvlJc w:val="left"/>
      <w:pPr>
        <w:ind w:left="5533" w:hanging="240"/>
      </w:pPr>
      <w:rPr>
        <w:lang w:val="fr-FR" w:eastAsia="en-US" w:bidi="ar-SA"/>
      </w:rPr>
    </w:lvl>
    <w:lvl w:ilvl="7">
      <w:numFmt w:val="bullet"/>
      <w:lvlText w:val="•"/>
      <w:lvlJc w:val="left"/>
      <w:pPr>
        <w:ind w:left="6520" w:hanging="240"/>
      </w:pPr>
      <w:rPr>
        <w:lang w:val="fr-FR" w:eastAsia="en-US" w:bidi="ar-SA"/>
      </w:rPr>
    </w:lvl>
    <w:lvl w:ilvl="8">
      <w:numFmt w:val="bullet"/>
      <w:lvlText w:val="•"/>
      <w:lvlJc w:val="left"/>
      <w:pPr>
        <w:ind w:left="7506" w:hanging="240"/>
      </w:pPr>
      <w:rPr>
        <w:lang w:val="fr-FR" w:eastAsia="en-US" w:bidi="ar-SA"/>
      </w:rPr>
    </w:lvl>
  </w:abstractNum>
  <w:abstractNum w:abstractNumId="3" w15:restartNumberingAfterBreak="0">
    <w:nsid w:val="175255ED"/>
    <w:multiLevelType w:val="hybridMultilevel"/>
    <w:tmpl w:val="601A1C8C"/>
    <w:lvl w:ilvl="0" w:tplc="7E6451DC">
      <w:numFmt w:val="bullet"/>
      <w:lvlText w:val="•"/>
      <w:lvlJc w:val="left"/>
      <w:pPr>
        <w:ind w:left="720" w:hanging="360"/>
      </w:pPr>
      <w:rPr>
        <w:rFonts w:ascii="Arial Narrow" w:eastAsiaTheme="minorHAnsi" w:hAnsi="Arial Narrow"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B107835"/>
    <w:multiLevelType w:val="multilevel"/>
    <w:tmpl w:val="ACF244BA"/>
    <w:lvl w:ilvl="0">
      <w:start w:val="1"/>
      <w:numFmt w:val="decimal"/>
      <w:lvlText w:val="%1."/>
      <w:lvlJc w:val="left"/>
      <w:pPr>
        <w:ind w:left="1620" w:hanging="300"/>
      </w:pPr>
      <w:rPr>
        <w:rFonts w:ascii="Verdana" w:eastAsia="Verdana" w:hAnsi="Verdana" w:cs="Verdana" w:hint="default"/>
        <w:b w:val="0"/>
        <w:bCs w:val="0"/>
        <w:i w:val="0"/>
        <w:iCs w:val="0"/>
        <w:spacing w:val="-2"/>
        <w:w w:val="63"/>
        <w:sz w:val="24"/>
        <w:szCs w:val="24"/>
        <w:lang w:val="fr-FR" w:eastAsia="en-US" w:bidi="ar-SA"/>
      </w:rPr>
    </w:lvl>
    <w:lvl w:ilvl="1">
      <w:start w:val="1"/>
      <w:numFmt w:val="decimal"/>
      <w:lvlText w:val="%1.%2"/>
      <w:lvlJc w:val="left"/>
      <w:pPr>
        <w:ind w:left="1920" w:hanging="600"/>
      </w:pPr>
      <w:rPr>
        <w:rFonts w:ascii="Tahoma" w:eastAsia="Tahoma" w:hAnsi="Tahoma" w:cs="Tahoma" w:hint="default"/>
        <w:b/>
        <w:bCs/>
        <w:i w:val="0"/>
        <w:iCs w:val="0"/>
        <w:spacing w:val="-5"/>
        <w:w w:val="69"/>
        <w:sz w:val="32"/>
        <w:szCs w:val="32"/>
        <w:lang w:val="fr-FR" w:eastAsia="en-US" w:bidi="ar-SA"/>
      </w:rPr>
    </w:lvl>
    <w:lvl w:ilvl="2">
      <w:numFmt w:val="bullet"/>
      <w:lvlText w:val="•"/>
      <w:lvlJc w:val="left"/>
      <w:pPr>
        <w:ind w:left="2906" w:hanging="600"/>
      </w:pPr>
      <w:rPr>
        <w:rFonts w:hint="default"/>
        <w:lang w:val="fr-FR" w:eastAsia="en-US" w:bidi="ar-SA"/>
      </w:rPr>
    </w:lvl>
    <w:lvl w:ilvl="3">
      <w:numFmt w:val="bullet"/>
      <w:lvlText w:val="•"/>
      <w:lvlJc w:val="left"/>
      <w:pPr>
        <w:ind w:left="3893" w:hanging="600"/>
      </w:pPr>
      <w:rPr>
        <w:rFonts w:hint="default"/>
        <w:lang w:val="fr-FR" w:eastAsia="en-US" w:bidi="ar-SA"/>
      </w:rPr>
    </w:lvl>
    <w:lvl w:ilvl="4">
      <w:numFmt w:val="bullet"/>
      <w:lvlText w:val="•"/>
      <w:lvlJc w:val="left"/>
      <w:pPr>
        <w:ind w:left="4880" w:hanging="600"/>
      </w:pPr>
      <w:rPr>
        <w:rFonts w:hint="default"/>
        <w:lang w:val="fr-FR" w:eastAsia="en-US" w:bidi="ar-SA"/>
      </w:rPr>
    </w:lvl>
    <w:lvl w:ilvl="5">
      <w:numFmt w:val="bullet"/>
      <w:lvlText w:val="•"/>
      <w:lvlJc w:val="left"/>
      <w:pPr>
        <w:ind w:left="5866" w:hanging="600"/>
      </w:pPr>
      <w:rPr>
        <w:rFonts w:hint="default"/>
        <w:lang w:val="fr-FR" w:eastAsia="en-US" w:bidi="ar-SA"/>
      </w:rPr>
    </w:lvl>
    <w:lvl w:ilvl="6">
      <w:numFmt w:val="bullet"/>
      <w:lvlText w:val="•"/>
      <w:lvlJc w:val="left"/>
      <w:pPr>
        <w:ind w:left="6853" w:hanging="600"/>
      </w:pPr>
      <w:rPr>
        <w:rFonts w:hint="default"/>
        <w:lang w:val="fr-FR" w:eastAsia="en-US" w:bidi="ar-SA"/>
      </w:rPr>
    </w:lvl>
    <w:lvl w:ilvl="7">
      <w:numFmt w:val="bullet"/>
      <w:lvlText w:val="•"/>
      <w:lvlJc w:val="left"/>
      <w:pPr>
        <w:ind w:left="7840" w:hanging="600"/>
      </w:pPr>
      <w:rPr>
        <w:rFonts w:hint="default"/>
        <w:lang w:val="fr-FR" w:eastAsia="en-US" w:bidi="ar-SA"/>
      </w:rPr>
    </w:lvl>
    <w:lvl w:ilvl="8">
      <w:numFmt w:val="bullet"/>
      <w:lvlText w:val="•"/>
      <w:lvlJc w:val="left"/>
      <w:pPr>
        <w:ind w:left="8826" w:hanging="600"/>
      </w:pPr>
      <w:rPr>
        <w:rFonts w:hint="default"/>
        <w:lang w:val="fr-FR" w:eastAsia="en-US" w:bidi="ar-SA"/>
      </w:rPr>
    </w:lvl>
  </w:abstractNum>
  <w:abstractNum w:abstractNumId="5" w15:restartNumberingAfterBreak="0">
    <w:nsid w:val="1F3911BD"/>
    <w:multiLevelType w:val="hybridMultilevel"/>
    <w:tmpl w:val="5492D582"/>
    <w:lvl w:ilvl="0" w:tplc="811A33CE">
      <w:numFmt w:val="bullet"/>
      <w:lvlText w:val="–"/>
      <w:lvlJc w:val="left"/>
      <w:pPr>
        <w:ind w:left="1860" w:hanging="240"/>
      </w:pPr>
      <w:rPr>
        <w:rFonts w:ascii="Verdana" w:eastAsia="Verdana" w:hAnsi="Verdana" w:cs="Verdana" w:hint="default"/>
        <w:b w:val="0"/>
        <w:bCs w:val="0"/>
        <w:i w:val="0"/>
        <w:iCs w:val="0"/>
        <w:spacing w:val="0"/>
        <w:w w:val="79"/>
        <w:sz w:val="24"/>
        <w:szCs w:val="24"/>
        <w:lang w:val="fr-FR" w:eastAsia="en-US" w:bidi="ar-SA"/>
      </w:rPr>
    </w:lvl>
    <w:lvl w:ilvl="1" w:tplc="B5389490">
      <w:numFmt w:val="bullet"/>
      <w:lvlText w:val="•"/>
      <w:lvlJc w:val="left"/>
      <w:pPr>
        <w:ind w:left="2754" w:hanging="240"/>
      </w:pPr>
      <w:rPr>
        <w:rFonts w:hint="default"/>
        <w:lang w:val="fr-FR" w:eastAsia="en-US" w:bidi="ar-SA"/>
      </w:rPr>
    </w:lvl>
    <w:lvl w:ilvl="2" w:tplc="0208408E">
      <w:numFmt w:val="bullet"/>
      <w:lvlText w:val="•"/>
      <w:lvlJc w:val="left"/>
      <w:pPr>
        <w:ind w:left="3648" w:hanging="240"/>
      </w:pPr>
      <w:rPr>
        <w:rFonts w:hint="default"/>
        <w:lang w:val="fr-FR" w:eastAsia="en-US" w:bidi="ar-SA"/>
      </w:rPr>
    </w:lvl>
    <w:lvl w:ilvl="3" w:tplc="193ECC64">
      <w:numFmt w:val="bullet"/>
      <w:lvlText w:val="•"/>
      <w:lvlJc w:val="left"/>
      <w:pPr>
        <w:ind w:left="4542" w:hanging="240"/>
      </w:pPr>
      <w:rPr>
        <w:rFonts w:hint="default"/>
        <w:lang w:val="fr-FR" w:eastAsia="en-US" w:bidi="ar-SA"/>
      </w:rPr>
    </w:lvl>
    <w:lvl w:ilvl="4" w:tplc="C07A788A">
      <w:numFmt w:val="bullet"/>
      <w:lvlText w:val="•"/>
      <w:lvlJc w:val="left"/>
      <w:pPr>
        <w:ind w:left="5436" w:hanging="240"/>
      </w:pPr>
      <w:rPr>
        <w:rFonts w:hint="default"/>
        <w:lang w:val="fr-FR" w:eastAsia="en-US" w:bidi="ar-SA"/>
      </w:rPr>
    </w:lvl>
    <w:lvl w:ilvl="5" w:tplc="CBE4A776">
      <w:numFmt w:val="bullet"/>
      <w:lvlText w:val="•"/>
      <w:lvlJc w:val="left"/>
      <w:pPr>
        <w:ind w:left="6330" w:hanging="240"/>
      </w:pPr>
      <w:rPr>
        <w:rFonts w:hint="default"/>
        <w:lang w:val="fr-FR" w:eastAsia="en-US" w:bidi="ar-SA"/>
      </w:rPr>
    </w:lvl>
    <w:lvl w:ilvl="6" w:tplc="E1B8FF4E">
      <w:numFmt w:val="bullet"/>
      <w:lvlText w:val="•"/>
      <w:lvlJc w:val="left"/>
      <w:pPr>
        <w:ind w:left="7224" w:hanging="240"/>
      </w:pPr>
      <w:rPr>
        <w:rFonts w:hint="default"/>
        <w:lang w:val="fr-FR" w:eastAsia="en-US" w:bidi="ar-SA"/>
      </w:rPr>
    </w:lvl>
    <w:lvl w:ilvl="7" w:tplc="01B6F98E">
      <w:numFmt w:val="bullet"/>
      <w:lvlText w:val="•"/>
      <w:lvlJc w:val="left"/>
      <w:pPr>
        <w:ind w:left="8118" w:hanging="240"/>
      </w:pPr>
      <w:rPr>
        <w:rFonts w:hint="default"/>
        <w:lang w:val="fr-FR" w:eastAsia="en-US" w:bidi="ar-SA"/>
      </w:rPr>
    </w:lvl>
    <w:lvl w:ilvl="8" w:tplc="4DCE6794">
      <w:numFmt w:val="bullet"/>
      <w:lvlText w:val="•"/>
      <w:lvlJc w:val="left"/>
      <w:pPr>
        <w:ind w:left="9012" w:hanging="240"/>
      </w:pPr>
      <w:rPr>
        <w:rFonts w:hint="default"/>
        <w:lang w:val="fr-FR" w:eastAsia="en-US" w:bidi="ar-SA"/>
      </w:rPr>
    </w:lvl>
  </w:abstractNum>
  <w:abstractNum w:abstractNumId="6" w15:restartNumberingAfterBreak="0">
    <w:nsid w:val="2FBC7873"/>
    <w:multiLevelType w:val="hybridMultilevel"/>
    <w:tmpl w:val="27904660"/>
    <w:lvl w:ilvl="0" w:tplc="7E6451DC">
      <w:numFmt w:val="bullet"/>
      <w:lvlText w:val="•"/>
      <w:lvlJc w:val="left"/>
      <w:pPr>
        <w:ind w:left="720" w:hanging="360"/>
      </w:pPr>
      <w:rPr>
        <w:rFonts w:ascii="Arial Narrow" w:eastAsiaTheme="minorHAnsi" w:hAnsi="Arial Narrow"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32E3A7E"/>
    <w:multiLevelType w:val="hybridMultilevel"/>
    <w:tmpl w:val="6D140F32"/>
    <w:lvl w:ilvl="0" w:tplc="7E6451DC">
      <w:numFmt w:val="bullet"/>
      <w:lvlText w:val="•"/>
      <w:lvlJc w:val="left"/>
      <w:pPr>
        <w:ind w:left="720" w:hanging="360"/>
      </w:pPr>
      <w:rPr>
        <w:rFonts w:ascii="Arial Narrow" w:eastAsiaTheme="minorHAnsi" w:hAnsi="Arial Narrow"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B01266A"/>
    <w:multiLevelType w:val="hybridMultilevel"/>
    <w:tmpl w:val="FA3EBE10"/>
    <w:lvl w:ilvl="0" w:tplc="7E6451DC">
      <w:numFmt w:val="bullet"/>
      <w:lvlText w:val="•"/>
      <w:lvlJc w:val="left"/>
      <w:pPr>
        <w:ind w:left="720" w:hanging="360"/>
      </w:pPr>
      <w:rPr>
        <w:rFonts w:ascii="Arial Narrow" w:eastAsiaTheme="minorHAnsi" w:hAnsi="Arial Narrow"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3FD4CC3"/>
    <w:multiLevelType w:val="hybridMultilevel"/>
    <w:tmpl w:val="2B2ECBC2"/>
    <w:lvl w:ilvl="0" w:tplc="7E6451DC">
      <w:numFmt w:val="bullet"/>
      <w:lvlText w:val="•"/>
      <w:lvlJc w:val="left"/>
      <w:pPr>
        <w:ind w:left="720" w:hanging="360"/>
      </w:pPr>
      <w:rPr>
        <w:rFonts w:ascii="Arial Narrow" w:eastAsiaTheme="minorHAnsi" w:hAnsi="Arial Narrow"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D47269A"/>
    <w:multiLevelType w:val="multilevel"/>
    <w:tmpl w:val="538E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5D43B3"/>
    <w:multiLevelType w:val="multilevel"/>
    <w:tmpl w:val="B8CC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581124"/>
    <w:multiLevelType w:val="hybridMultilevel"/>
    <w:tmpl w:val="AD2AB984"/>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778"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abstractNum w:abstractNumId="13" w15:restartNumberingAfterBreak="0">
    <w:nsid w:val="75836398"/>
    <w:multiLevelType w:val="hybridMultilevel"/>
    <w:tmpl w:val="F26475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6593468">
    <w:abstractNumId w:val="10"/>
  </w:num>
  <w:num w:numId="2" w16cid:durableId="1143235154">
    <w:abstractNumId w:val="5"/>
  </w:num>
  <w:num w:numId="3" w16cid:durableId="740366359">
    <w:abstractNumId w:val="4"/>
  </w:num>
  <w:num w:numId="4" w16cid:durableId="144132192">
    <w:abstractNumId w:val="12"/>
  </w:num>
  <w:num w:numId="5" w16cid:durableId="338192695">
    <w:abstractNumId w:val="2"/>
  </w:num>
  <w:num w:numId="6" w16cid:durableId="1467889689">
    <w:abstractNumId w:val="11"/>
  </w:num>
  <w:num w:numId="7" w16cid:durableId="1652249444">
    <w:abstractNumId w:val="13"/>
  </w:num>
  <w:num w:numId="8" w16cid:durableId="1806582986">
    <w:abstractNumId w:val="1"/>
  </w:num>
  <w:num w:numId="9" w16cid:durableId="1612129123">
    <w:abstractNumId w:val="9"/>
  </w:num>
  <w:num w:numId="10" w16cid:durableId="2047562188">
    <w:abstractNumId w:val="7"/>
  </w:num>
  <w:num w:numId="11" w16cid:durableId="227231573">
    <w:abstractNumId w:val="8"/>
  </w:num>
  <w:num w:numId="12" w16cid:durableId="1507936234">
    <w:abstractNumId w:val="3"/>
  </w:num>
  <w:num w:numId="13" w16cid:durableId="679351292">
    <w:abstractNumId w:val="0"/>
  </w:num>
  <w:num w:numId="14" w16cid:durableId="379062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C7"/>
    <w:rsid w:val="00001738"/>
    <w:rsid w:val="00002964"/>
    <w:rsid w:val="0000300D"/>
    <w:rsid w:val="00012D8A"/>
    <w:rsid w:val="00015922"/>
    <w:rsid w:val="0001626F"/>
    <w:rsid w:val="00025F41"/>
    <w:rsid w:val="00052D64"/>
    <w:rsid w:val="0006040A"/>
    <w:rsid w:val="00067BAB"/>
    <w:rsid w:val="000744D9"/>
    <w:rsid w:val="00074D74"/>
    <w:rsid w:val="00082388"/>
    <w:rsid w:val="00097A37"/>
    <w:rsid w:val="000B0B61"/>
    <w:rsid w:val="000C5838"/>
    <w:rsid w:val="000D301E"/>
    <w:rsid w:val="000D58C7"/>
    <w:rsid w:val="000F030D"/>
    <w:rsid w:val="000F4A0F"/>
    <w:rsid w:val="00104668"/>
    <w:rsid w:val="00116693"/>
    <w:rsid w:val="00122A04"/>
    <w:rsid w:val="001432EF"/>
    <w:rsid w:val="00147A0E"/>
    <w:rsid w:val="00187FAC"/>
    <w:rsid w:val="001A4599"/>
    <w:rsid w:val="001B514E"/>
    <w:rsid w:val="001D1902"/>
    <w:rsid w:val="001D4FC4"/>
    <w:rsid w:val="001E365C"/>
    <w:rsid w:val="001E6F16"/>
    <w:rsid w:val="001E75CD"/>
    <w:rsid w:val="001F27C8"/>
    <w:rsid w:val="001F524D"/>
    <w:rsid w:val="00222A2C"/>
    <w:rsid w:val="00244CEA"/>
    <w:rsid w:val="002472C7"/>
    <w:rsid w:val="00273EF1"/>
    <w:rsid w:val="002746F5"/>
    <w:rsid w:val="00281F50"/>
    <w:rsid w:val="00293E26"/>
    <w:rsid w:val="002A2B06"/>
    <w:rsid w:val="002D6D4F"/>
    <w:rsid w:val="002E3DED"/>
    <w:rsid w:val="002F1A06"/>
    <w:rsid w:val="00324313"/>
    <w:rsid w:val="00330E99"/>
    <w:rsid w:val="003478F8"/>
    <w:rsid w:val="0035480D"/>
    <w:rsid w:val="00370114"/>
    <w:rsid w:val="00373B41"/>
    <w:rsid w:val="00375DBE"/>
    <w:rsid w:val="0038342B"/>
    <w:rsid w:val="00383FEF"/>
    <w:rsid w:val="00394585"/>
    <w:rsid w:val="003C203A"/>
    <w:rsid w:val="003E1B5F"/>
    <w:rsid w:val="0040346E"/>
    <w:rsid w:val="00404A75"/>
    <w:rsid w:val="004102B6"/>
    <w:rsid w:val="004171E2"/>
    <w:rsid w:val="00417390"/>
    <w:rsid w:val="00420CEA"/>
    <w:rsid w:val="00427C34"/>
    <w:rsid w:val="00473C1E"/>
    <w:rsid w:val="00474064"/>
    <w:rsid w:val="00475301"/>
    <w:rsid w:val="00485B14"/>
    <w:rsid w:val="0049467B"/>
    <w:rsid w:val="004A2B62"/>
    <w:rsid w:val="004C0ECE"/>
    <w:rsid w:val="004C3B7A"/>
    <w:rsid w:val="004C65CA"/>
    <w:rsid w:val="004D5B2A"/>
    <w:rsid w:val="004F4E63"/>
    <w:rsid w:val="00525E88"/>
    <w:rsid w:val="00531215"/>
    <w:rsid w:val="0053685B"/>
    <w:rsid w:val="0054210A"/>
    <w:rsid w:val="00542411"/>
    <w:rsid w:val="005676CE"/>
    <w:rsid w:val="0057182B"/>
    <w:rsid w:val="00571B79"/>
    <w:rsid w:val="005741DB"/>
    <w:rsid w:val="005822C6"/>
    <w:rsid w:val="005905E1"/>
    <w:rsid w:val="00597C0C"/>
    <w:rsid w:val="005A08B8"/>
    <w:rsid w:val="005A5597"/>
    <w:rsid w:val="005A59D3"/>
    <w:rsid w:val="005C1206"/>
    <w:rsid w:val="005C1A8E"/>
    <w:rsid w:val="005D3E9B"/>
    <w:rsid w:val="005D5BC1"/>
    <w:rsid w:val="005F1E74"/>
    <w:rsid w:val="00600A7D"/>
    <w:rsid w:val="00607496"/>
    <w:rsid w:val="00615BE3"/>
    <w:rsid w:val="00617E43"/>
    <w:rsid w:val="00631C6A"/>
    <w:rsid w:val="00634AF8"/>
    <w:rsid w:val="00651AE5"/>
    <w:rsid w:val="00654A37"/>
    <w:rsid w:val="00674A9A"/>
    <w:rsid w:val="00684238"/>
    <w:rsid w:val="00690343"/>
    <w:rsid w:val="00690BAB"/>
    <w:rsid w:val="0069558A"/>
    <w:rsid w:val="006A506B"/>
    <w:rsid w:val="006B19A2"/>
    <w:rsid w:val="006B2BB0"/>
    <w:rsid w:val="006D64DC"/>
    <w:rsid w:val="006D7A24"/>
    <w:rsid w:val="00700CFE"/>
    <w:rsid w:val="007171EE"/>
    <w:rsid w:val="00725D68"/>
    <w:rsid w:val="0073284A"/>
    <w:rsid w:val="00753F4E"/>
    <w:rsid w:val="007833AC"/>
    <w:rsid w:val="007B17CE"/>
    <w:rsid w:val="007C39F7"/>
    <w:rsid w:val="007D0112"/>
    <w:rsid w:val="007D78FE"/>
    <w:rsid w:val="007E353A"/>
    <w:rsid w:val="007E51F9"/>
    <w:rsid w:val="007F58A8"/>
    <w:rsid w:val="008032E5"/>
    <w:rsid w:val="00813AB0"/>
    <w:rsid w:val="00837531"/>
    <w:rsid w:val="00842AF4"/>
    <w:rsid w:val="00843398"/>
    <w:rsid w:val="00851EE6"/>
    <w:rsid w:val="00861E88"/>
    <w:rsid w:val="00885A37"/>
    <w:rsid w:val="00896E08"/>
    <w:rsid w:val="008A2072"/>
    <w:rsid w:val="008D361E"/>
    <w:rsid w:val="008E1563"/>
    <w:rsid w:val="008F26A1"/>
    <w:rsid w:val="008F6EC4"/>
    <w:rsid w:val="009050F2"/>
    <w:rsid w:val="00917396"/>
    <w:rsid w:val="00950826"/>
    <w:rsid w:val="009532E3"/>
    <w:rsid w:val="00965766"/>
    <w:rsid w:val="00987875"/>
    <w:rsid w:val="00997E2A"/>
    <w:rsid w:val="009A13D9"/>
    <w:rsid w:val="009C0556"/>
    <w:rsid w:val="009C0705"/>
    <w:rsid w:val="009D5D2B"/>
    <w:rsid w:val="009E3BFF"/>
    <w:rsid w:val="009E470A"/>
    <w:rsid w:val="009F1159"/>
    <w:rsid w:val="009F4507"/>
    <w:rsid w:val="009F58EE"/>
    <w:rsid w:val="00A14ED9"/>
    <w:rsid w:val="00A20262"/>
    <w:rsid w:val="00A209F2"/>
    <w:rsid w:val="00A21E79"/>
    <w:rsid w:val="00A22E37"/>
    <w:rsid w:val="00A405D6"/>
    <w:rsid w:val="00A40AA5"/>
    <w:rsid w:val="00A41CF8"/>
    <w:rsid w:val="00A43246"/>
    <w:rsid w:val="00A46F1B"/>
    <w:rsid w:val="00A5328F"/>
    <w:rsid w:val="00A60AF9"/>
    <w:rsid w:val="00A73468"/>
    <w:rsid w:val="00A76BEF"/>
    <w:rsid w:val="00A87293"/>
    <w:rsid w:val="00A879D2"/>
    <w:rsid w:val="00AA4B79"/>
    <w:rsid w:val="00AD7447"/>
    <w:rsid w:val="00AD76FC"/>
    <w:rsid w:val="00B205A2"/>
    <w:rsid w:val="00B24B1B"/>
    <w:rsid w:val="00B26421"/>
    <w:rsid w:val="00B63F29"/>
    <w:rsid w:val="00B82279"/>
    <w:rsid w:val="00BA424C"/>
    <w:rsid w:val="00BB43EC"/>
    <w:rsid w:val="00BB4CB7"/>
    <w:rsid w:val="00BB5F67"/>
    <w:rsid w:val="00BD4AB5"/>
    <w:rsid w:val="00BF308D"/>
    <w:rsid w:val="00BF3E0A"/>
    <w:rsid w:val="00BF4061"/>
    <w:rsid w:val="00C15D3E"/>
    <w:rsid w:val="00C26EDF"/>
    <w:rsid w:val="00C27A7E"/>
    <w:rsid w:val="00C317C6"/>
    <w:rsid w:val="00C3211E"/>
    <w:rsid w:val="00C33410"/>
    <w:rsid w:val="00C356CE"/>
    <w:rsid w:val="00C56782"/>
    <w:rsid w:val="00C621D2"/>
    <w:rsid w:val="00C66688"/>
    <w:rsid w:val="00C71D61"/>
    <w:rsid w:val="00CC3ADE"/>
    <w:rsid w:val="00CD7831"/>
    <w:rsid w:val="00CF07DE"/>
    <w:rsid w:val="00D20846"/>
    <w:rsid w:val="00D25CFE"/>
    <w:rsid w:val="00D26153"/>
    <w:rsid w:val="00D323D7"/>
    <w:rsid w:val="00D40A0A"/>
    <w:rsid w:val="00D41659"/>
    <w:rsid w:val="00D4250B"/>
    <w:rsid w:val="00D44EEA"/>
    <w:rsid w:val="00D47B6C"/>
    <w:rsid w:val="00D60095"/>
    <w:rsid w:val="00D75F3D"/>
    <w:rsid w:val="00D86704"/>
    <w:rsid w:val="00D94433"/>
    <w:rsid w:val="00DA71A8"/>
    <w:rsid w:val="00DB5718"/>
    <w:rsid w:val="00DC2396"/>
    <w:rsid w:val="00DD4541"/>
    <w:rsid w:val="00DE078C"/>
    <w:rsid w:val="00DF6FF0"/>
    <w:rsid w:val="00E03328"/>
    <w:rsid w:val="00E178E7"/>
    <w:rsid w:val="00E26C32"/>
    <w:rsid w:val="00E32EA5"/>
    <w:rsid w:val="00E433E3"/>
    <w:rsid w:val="00E63E8D"/>
    <w:rsid w:val="00E66259"/>
    <w:rsid w:val="00EC4FEF"/>
    <w:rsid w:val="00ED249A"/>
    <w:rsid w:val="00ED76F8"/>
    <w:rsid w:val="00EE0BFC"/>
    <w:rsid w:val="00EF6733"/>
    <w:rsid w:val="00F06095"/>
    <w:rsid w:val="00F079F3"/>
    <w:rsid w:val="00F26588"/>
    <w:rsid w:val="00F52425"/>
    <w:rsid w:val="00F6294A"/>
    <w:rsid w:val="00F6784C"/>
    <w:rsid w:val="00F81ED1"/>
    <w:rsid w:val="00F8242C"/>
    <w:rsid w:val="00F82716"/>
    <w:rsid w:val="00F82D8D"/>
    <w:rsid w:val="00FC15EB"/>
    <w:rsid w:val="00FC56DB"/>
    <w:rsid w:val="00FD1E02"/>
    <w:rsid w:val="00FE0D15"/>
    <w:rsid w:val="00FE44E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21A96"/>
  <w15:chartTrackingRefBased/>
  <w15:docId w15:val="{D1215A63-C647-4227-95E1-E695C19E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kern w:val="2"/>
        <w:sz w:val="24"/>
        <w:szCs w:val="24"/>
        <w:lang w:val="fr-CA"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599"/>
  </w:style>
  <w:style w:type="paragraph" w:styleId="Titre1">
    <w:name w:val="heading 1"/>
    <w:basedOn w:val="Normal"/>
    <w:next w:val="Normal"/>
    <w:link w:val="Titre1Car"/>
    <w:uiPriority w:val="9"/>
    <w:qFormat/>
    <w:rsid w:val="000D58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D58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D58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D58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D58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D58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58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58C7"/>
    <w:pPr>
      <w:keepNext/>
      <w:keepLines/>
      <w:spacing w:before="0"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58C7"/>
    <w:pPr>
      <w:keepNext/>
      <w:keepLines/>
      <w:spacing w:before="0"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visit">
    <w:name w:val="FollowedHyperlink"/>
    <w:rsid w:val="00485B14"/>
    <w:rPr>
      <w:rFonts w:ascii="Arial Narrow" w:hAnsi="Arial Narrow"/>
      <w:color w:val="0000FF"/>
      <w:sz w:val="24"/>
      <w:u w:val="single"/>
    </w:rPr>
  </w:style>
  <w:style w:type="character" w:customStyle="1" w:styleId="Titre1Car">
    <w:name w:val="Titre 1 Car"/>
    <w:basedOn w:val="Policepardfaut"/>
    <w:link w:val="Titre1"/>
    <w:uiPriority w:val="9"/>
    <w:rsid w:val="000D58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D58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D58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D58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D58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D58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58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58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58C7"/>
    <w:rPr>
      <w:rFonts w:eastAsiaTheme="majorEastAsia" w:cstheme="majorBidi"/>
      <w:color w:val="272727" w:themeColor="text1" w:themeTint="D8"/>
    </w:rPr>
  </w:style>
  <w:style w:type="paragraph" w:styleId="Titre">
    <w:name w:val="Title"/>
    <w:basedOn w:val="Normal"/>
    <w:next w:val="Normal"/>
    <w:link w:val="TitreCar"/>
    <w:uiPriority w:val="10"/>
    <w:qFormat/>
    <w:rsid w:val="000D58C7"/>
    <w:pPr>
      <w:spacing w:before="0"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58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58C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58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58C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D58C7"/>
    <w:rPr>
      <w:i/>
      <w:iCs/>
      <w:color w:val="404040" w:themeColor="text1" w:themeTint="BF"/>
    </w:rPr>
  </w:style>
  <w:style w:type="paragraph" w:styleId="Paragraphedeliste">
    <w:name w:val="List Paragraph"/>
    <w:basedOn w:val="Normal"/>
    <w:uiPriority w:val="1"/>
    <w:qFormat/>
    <w:rsid w:val="000D58C7"/>
    <w:pPr>
      <w:ind w:left="720"/>
      <w:contextualSpacing/>
    </w:pPr>
  </w:style>
  <w:style w:type="character" w:styleId="Accentuationintense">
    <w:name w:val="Intense Emphasis"/>
    <w:basedOn w:val="Policepardfaut"/>
    <w:uiPriority w:val="21"/>
    <w:qFormat/>
    <w:rsid w:val="000D58C7"/>
    <w:rPr>
      <w:i/>
      <w:iCs/>
      <w:color w:val="0F4761" w:themeColor="accent1" w:themeShade="BF"/>
    </w:rPr>
  </w:style>
  <w:style w:type="paragraph" w:styleId="Citationintense">
    <w:name w:val="Intense Quote"/>
    <w:basedOn w:val="Normal"/>
    <w:next w:val="Normal"/>
    <w:link w:val="CitationintenseCar"/>
    <w:uiPriority w:val="30"/>
    <w:qFormat/>
    <w:rsid w:val="000D5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D58C7"/>
    <w:rPr>
      <w:i/>
      <w:iCs/>
      <w:color w:val="0F4761" w:themeColor="accent1" w:themeShade="BF"/>
    </w:rPr>
  </w:style>
  <w:style w:type="character" w:styleId="Rfrenceintense">
    <w:name w:val="Intense Reference"/>
    <w:basedOn w:val="Policepardfaut"/>
    <w:uiPriority w:val="32"/>
    <w:qFormat/>
    <w:rsid w:val="000D58C7"/>
    <w:rPr>
      <w:b/>
      <w:bCs/>
      <w:smallCaps/>
      <w:color w:val="0F4761" w:themeColor="accent1" w:themeShade="BF"/>
      <w:spacing w:val="5"/>
    </w:rPr>
  </w:style>
  <w:style w:type="character" w:styleId="Hyperlien">
    <w:name w:val="Hyperlink"/>
    <w:basedOn w:val="Policepardfaut"/>
    <w:uiPriority w:val="99"/>
    <w:unhideWhenUsed/>
    <w:rsid w:val="001D1902"/>
    <w:rPr>
      <w:color w:val="467886" w:themeColor="hyperlink"/>
      <w:u w:val="single"/>
    </w:rPr>
  </w:style>
  <w:style w:type="character" w:styleId="Mentionnonrsolue">
    <w:name w:val="Unresolved Mention"/>
    <w:basedOn w:val="Policepardfaut"/>
    <w:uiPriority w:val="99"/>
    <w:semiHidden/>
    <w:unhideWhenUsed/>
    <w:rsid w:val="001D1902"/>
    <w:rPr>
      <w:color w:val="605E5C"/>
      <w:shd w:val="clear" w:color="auto" w:fill="E1DFDD"/>
    </w:rPr>
  </w:style>
  <w:style w:type="paragraph" w:styleId="Corpsdetexte">
    <w:name w:val="Body Text"/>
    <w:basedOn w:val="Normal"/>
    <w:link w:val="CorpsdetexteCar"/>
    <w:uiPriority w:val="1"/>
    <w:qFormat/>
    <w:rsid w:val="00A405D6"/>
    <w:pPr>
      <w:widowControl w:val="0"/>
      <w:autoSpaceDE w:val="0"/>
      <w:autoSpaceDN w:val="0"/>
      <w:spacing w:before="0" w:beforeAutospacing="0" w:after="0" w:afterAutospacing="0"/>
    </w:pPr>
    <w:rPr>
      <w:rFonts w:ascii="Verdana" w:eastAsia="Verdana" w:hAnsi="Verdana" w:cs="Verdana"/>
      <w:kern w:val="0"/>
      <w:lang w:val="fr-FR"/>
      <w14:ligatures w14:val="none"/>
    </w:rPr>
  </w:style>
  <w:style w:type="character" w:customStyle="1" w:styleId="CorpsdetexteCar">
    <w:name w:val="Corps de texte Car"/>
    <w:basedOn w:val="Policepardfaut"/>
    <w:link w:val="Corpsdetexte"/>
    <w:uiPriority w:val="1"/>
    <w:rsid w:val="00A405D6"/>
    <w:rPr>
      <w:rFonts w:ascii="Verdana" w:eastAsia="Verdana" w:hAnsi="Verdana" w:cs="Verdana"/>
      <w:kern w:val="0"/>
      <w:lang w:val="fr-FR"/>
      <w14:ligatures w14:val="none"/>
    </w:rPr>
  </w:style>
  <w:style w:type="paragraph" w:styleId="Notedefin">
    <w:name w:val="endnote text"/>
    <w:basedOn w:val="Normal"/>
    <w:link w:val="NotedefinCar"/>
    <w:uiPriority w:val="99"/>
    <w:semiHidden/>
    <w:unhideWhenUsed/>
    <w:rsid w:val="006B2BB0"/>
    <w:pPr>
      <w:spacing w:before="0" w:after="0"/>
    </w:pPr>
    <w:rPr>
      <w:sz w:val="20"/>
      <w:szCs w:val="20"/>
    </w:rPr>
  </w:style>
  <w:style w:type="character" w:customStyle="1" w:styleId="NotedefinCar">
    <w:name w:val="Note de fin Car"/>
    <w:basedOn w:val="Policepardfaut"/>
    <w:link w:val="Notedefin"/>
    <w:uiPriority w:val="99"/>
    <w:semiHidden/>
    <w:rsid w:val="006B2BB0"/>
    <w:rPr>
      <w:sz w:val="20"/>
      <w:szCs w:val="20"/>
    </w:rPr>
  </w:style>
  <w:style w:type="paragraph" w:styleId="Notedebasdepage">
    <w:name w:val="footnote text"/>
    <w:basedOn w:val="Normal"/>
    <w:link w:val="NotedebasdepageCar"/>
    <w:uiPriority w:val="99"/>
    <w:semiHidden/>
    <w:unhideWhenUsed/>
    <w:rsid w:val="00F52425"/>
    <w:pPr>
      <w:spacing w:before="0" w:after="0"/>
    </w:pPr>
    <w:rPr>
      <w:sz w:val="20"/>
      <w:szCs w:val="20"/>
    </w:rPr>
  </w:style>
  <w:style w:type="character" w:customStyle="1" w:styleId="NotedebasdepageCar">
    <w:name w:val="Note de bas de page Car"/>
    <w:basedOn w:val="Policepardfaut"/>
    <w:link w:val="Notedebasdepage"/>
    <w:uiPriority w:val="99"/>
    <w:semiHidden/>
    <w:rsid w:val="00F52425"/>
    <w:rPr>
      <w:sz w:val="20"/>
      <w:szCs w:val="20"/>
    </w:rPr>
  </w:style>
  <w:style w:type="character" w:styleId="Appelnotedebasdep">
    <w:name w:val="footnote reference"/>
    <w:basedOn w:val="Policepardfaut"/>
    <w:uiPriority w:val="99"/>
    <w:semiHidden/>
    <w:unhideWhenUsed/>
    <w:rsid w:val="00F52425"/>
    <w:rPr>
      <w:vertAlign w:val="superscript"/>
    </w:rPr>
  </w:style>
  <w:style w:type="paragraph" w:styleId="En-tte">
    <w:name w:val="header"/>
    <w:basedOn w:val="Normal"/>
    <w:link w:val="En-tteCar"/>
    <w:uiPriority w:val="99"/>
    <w:unhideWhenUsed/>
    <w:rsid w:val="00FE0D15"/>
    <w:pPr>
      <w:tabs>
        <w:tab w:val="center" w:pos="4320"/>
        <w:tab w:val="right" w:pos="8640"/>
      </w:tabs>
      <w:spacing w:before="0" w:after="0"/>
    </w:pPr>
  </w:style>
  <w:style w:type="character" w:customStyle="1" w:styleId="En-tteCar">
    <w:name w:val="En-tête Car"/>
    <w:basedOn w:val="Policepardfaut"/>
    <w:link w:val="En-tte"/>
    <w:uiPriority w:val="99"/>
    <w:rsid w:val="00FE0D15"/>
  </w:style>
  <w:style w:type="paragraph" w:styleId="Pieddepage">
    <w:name w:val="footer"/>
    <w:basedOn w:val="Normal"/>
    <w:link w:val="PieddepageCar"/>
    <w:uiPriority w:val="99"/>
    <w:unhideWhenUsed/>
    <w:rsid w:val="00FE0D15"/>
    <w:pPr>
      <w:tabs>
        <w:tab w:val="center" w:pos="4320"/>
        <w:tab w:val="right" w:pos="8640"/>
      </w:tabs>
      <w:spacing w:before="0" w:after="0"/>
    </w:pPr>
  </w:style>
  <w:style w:type="character" w:customStyle="1" w:styleId="PieddepageCar">
    <w:name w:val="Pied de page Car"/>
    <w:basedOn w:val="Policepardfaut"/>
    <w:link w:val="Pieddepage"/>
    <w:uiPriority w:val="99"/>
    <w:rsid w:val="00FE0D15"/>
  </w:style>
  <w:style w:type="character" w:styleId="Appeldenotedefin">
    <w:name w:val="endnote reference"/>
    <w:basedOn w:val="Policepardfaut"/>
    <w:uiPriority w:val="99"/>
    <w:semiHidden/>
    <w:unhideWhenUsed/>
    <w:rsid w:val="00F8242C"/>
    <w:rPr>
      <w:vertAlign w:val="superscript"/>
    </w:rPr>
  </w:style>
  <w:style w:type="table" w:styleId="Grilledutableau">
    <w:name w:val="Table Grid"/>
    <w:basedOn w:val="TableauNormal"/>
    <w:uiPriority w:val="39"/>
    <w:rsid w:val="002D6D4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ublicationsduquebec.gouv.qc.ca/fileadmin/Fichiers_client/lois_et_reglements/LoisAnnuelles/fr/2025/2025C15F.PDF" TargetMode="External"/><Relationship Id="rId18" Type="http://schemas.openxmlformats.org/officeDocument/2006/relationships/image" Target="media/image1.png"/><Relationship Id="rId26" Type="http://schemas.openxmlformats.org/officeDocument/2006/relationships/hyperlink" Target="https://www.assnat.qc.ca/fr/travaux-parlementaires/mandats/Mandat-53503/index.html" TargetMode="External"/><Relationship Id="rId3" Type="http://schemas.openxmlformats.org/officeDocument/2006/relationships/customXml" Target="../customXml/item3.xml"/><Relationship Id="rId21" Type="http://schemas.openxmlformats.org/officeDocument/2006/relationships/hyperlink" Target="https://www.mercedezroberge.ca/wp-content/uploads/2025/12/2025-12-28-E-3.3Loi-electorale-avec-amendements-du-pl98.docx" TargetMode="External"/><Relationship Id="rId34" Type="http://schemas.openxmlformats.org/officeDocument/2006/relationships/hyperlink" Target="https://www.pes.electionsquebec.qc.ca/services/PES0506A.enregistrer.avis.intention.tiers/" TargetMode="External"/><Relationship Id="rId7" Type="http://schemas.openxmlformats.org/officeDocument/2006/relationships/settings" Target="settings.xml"/><Relationship Id="rId12" Type="http://schemas.openxmlformats.org/officeDocument/2006/relationships/hyperlink" Target="https://www.mercedezroberge.ca/2026-une-annee-electorale-qui-commence-mal/" TargetMode="External"/><Relationship Id="rId17" Type="http://schemas.openxmlformats.org/officeDocument/2006/relationships/hyperlink" Target="https://www.mercedezroberge.ca/wp-content/uploads/2025/12/2025-12-18-DGE-730Guide-publicite-preelectorale.pdf" TargetMode="External"/><Relationship Id="rId25" Type="http://schemas.openxmlformats.org/officeDocument/2006/relationships/hyperlink" Target="https://www.assnat.qc.ca/fr/travaux-parlementaires/projets-loi/projet-loi-98-43-1.html" TargetMode="External"/><Relationship Id="rId33" Type="http://schemas.openxmlformats.org/officeDocument/2006/relationships/hyperlink" Target="https://www.electionsquebec.qc.ca/financement-depenses-et-contributions/tiers-enregistres-pour-faire-de-la-publicite-partisane/" TargetMode="External"/><Relationship Id="rId2" Type="http://schemas.openxmlformats.org/officeDocument/2006/relationships/customXml" Target="../customXml/item2.xml"/><Relationship Id="rId16" Type="http://schemas.openxmlformats.org/officeDocument/2006/relationships/hyperlink" Target="https://docs.electionsquebec.qc.ca/PRO/6942ccd60816a/DGE-730.pdf" TargetMode="External"/><Relationship Id="rId20" Type="http://schemas.openxmlformats.org/officeDocument/2006/relationships/hyperlink" Target="https://www.mercedezroberge.ca/wp-content/uploads/2025/12/E-3.3-en-ligne-24-10-2025-sans-modif-PL98.pdf" TargetMode="External"/><Relationship Id="rId29" Type="http://schemas.openxmlformats.org/officeDocument/2006/relationships/hyperlink" Target="https://www.assnat.qc.ca/fr/travaux-parlementaires/commissions/CI/mandats/Mandat-53721/documents-depos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devoir.com/opinion/idees/945210/annee-electorale-commence-mal?" TargetMode="External"/><Relationship Id="rId24" Type="http://schemas.openxmlformats.org/officeDocument/2006/relationships/hyperlink" Target="https://www.mercedezroberge.ca/wp-content/uploads/2025/12/2025-05-comparaison-pl98-avant-apres-adoption.docx" TargetMode="External"/><Relationship Id="rId32" Type="http://schemas.openxmlformats.org/officeDocument/2006/relationships/hyperlink" Target="https://www.electionsquebec.qc.ca/comprendre/comprendre-le-financement-politique/depenses-de-publicite-partisane-avant-le-debut-de-la-periode-electorale-provinciale/" TargetMode="External"/><Relationship Id="rId5" Type="http://schemas.openxmlformats.org/officeDocument/2006/relationships/numbering" Target="numbering.xml"/><Relationship Id="rId15" Type="http://schemas.openxmlformats.org/officeDocument/2006/relationships/hyperlink" Target="https://docs.electionsquebec.qc.ca/PRO/6942ccd60816a/DGE-730.pdf" TargetMode="External"/><Relationship Id="rId23" Type="http://schemas.openxmlformats.org/officeDocument/2006/relationships/hyperlink" Target="https://www.mercedezroberge.ca/wp-content/uploads/2025/12/2025C15F-projet-de-loi-98-adopte.pdf" TargetMode="External"/><Relationship Id="rId28" Type="http://schemas.openxmlformats.org/officeDocument/2006/relationships/hyperlink" Target="https://www.assnat.qc.ca/fr/travaux-parlementaires/commissions/CI/mandats/Mandat-53503/memoires-deposes.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cs.electionsquebec.qc.ca/PRO/6942ccd60816a/DGE-730.pdf" TargetMode="External"/><Relationship Id="rId31" Type="http://schemas.openxmlformats.org/officeDocument/2006/relationships/hyperlink" Target="https://www.mercedezroberge.ca/wp-content/uploads/2025/12/2025-12-18-DGE-730Guide-publicite-preelectoral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quebec.gouv.qc.ca/fr/document/lc/e-3.3" TargetMode="External"/><Relationship Id="rId22" Type="http://schemas.openxmlformats.org/officeDocument/2006/relationships/hyperlink" Target="http://www.mercedezroberge.ca/wp-content/uploads/2025/12/2025-04-03-pl98-avant-adoption.pdf" TargetMode="External"/><Relationship Id="rId27" Type="http://schemas.openxmlformats.org/officeDocument/2006/relationships/hyperlink" Target="https://www.assnat.qc.ca/fr/travaux-parlementaires/mandats/Mandat-53721/index.html" TargetMode="External"/><Relationship Id="rId30" Type="http://schemas.openxmlformats.org/officeDocument/2006/relationships/hyperlink" Target="https://www.assnat.qc.ca/fr/travaux-parlementaires/assemblee-nationale/43-1/journal-debats/20250529/409189.html"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electionsquebec.qc.ca/comprendre/comprendre-le-financement-politique/depenses-de-publicite-partisane-avant-le-debut-de-la-periode-electorale-provinciale/" TargetMode="External"/><Relationship Id="rId2" Type="http://schemas.openxmlformats.org/officeDocument/2006/relationships/hyperlink" Target="http://www.trpocb.org" TargetMode="External"/><Relationship Id="rId1" Type="http://schemas.openxmlformats.org/officeDocument/2006/relationships/hyperlink" Target="http://www.trpocb.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7643D1D4D9347AA0297DEEA93E74E" ma:contentTypeVersion="13" ma:contentTypeDescription="Crée un document." ma:contentTypeScope="" ma:versionID="bd1e5d488359222b25b37ebeeb94e8bc">
  <xsd:schema xmlns:xsd="http://www.w3.org/2001/XMLSchema" xmlns:xs="http://www.w3.org/2001/XMLSchema" xmlns:p="http://schemas.microsoft.com/office/2006/metadata/properties" xmlns:ns2="b8d4d84c-c491-445f-b2d2-27f1e9ddc196" xmlns:ns3="c55d25d2-0c3f-426a-83a4-d0cf64599e04" targetNamespace="http://schemas.microsoft.com/office/2006/metadata/properties" ma:root="true" ma:fieldsID="24e8ef548b47ee41b86ec2d379d33464" ns2:_="" ns3:_="">
    <xsd:import namespace="b8d4d84c-c491-445f-b2d2-27f1e9ddc196"/>
    <xsd:import namespace="c55d25d2-0c3f-426a-83a4-d0cf64599e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4d84c-c491-445f-b2d2-27f1e9ddc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176c04c2-454a-4991-89a7-9db4f6c93f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d25d2-0c3f-426a-83a4-d0cf64599e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db6926-bcbb-4b27-808e-cbd9d13baafe}" ma:internalName="TaxCatchAll" ma:showField="CatchAllData" ma:web="c55d25d2-0c3f-426a-83a4-d0cf64599e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5d25d2-0c3f-426a-83a4-d0cf64599e04" xsi:nil="true"/>
    <lcf76f155ced4ddcb4097134ff3c332f xmlns="b8d4d84c-c491-445f-b2d2-27f1e9ddc19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C37EF-D1FE-4E85-851D-821353718AD1}">
  <ds:schemaRefs>
    <ds:schemaRef ds:uri="http://schemas.microsoft.com/sharepoint/v3/contenttype/forms"/>
  </ds:schemaRefs>
</ds:datastoreItem>
</file>

<file path=customXml/itemProps2.xml><?xml version="1.0" encoding="utf-8"?>
<ds:datastoreItem xmlns:ds="http://schemas.openxmlformats.org/officeDocument/2006/customXml" ds:itemID="{AE11AD48-B98A-4F71-935E-8AAE98521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4d84c-c491-445f-b2d2-27f1e9ddc196"/>
    <ds:schemaRef ds:uri="c55d25d2-0c3f-426a-83a4-d0cf64599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136A4-7070-4539-B411-C26EC46ECF4E}">
  <ds:schemaRefs>
    <ds:schemaRef ds:uri="http://schemas.microsoft.com/office/2006/metadata/properties"/>
    <ds:schemaRef ds:uri="http://schemas.microsoft.com/office/infopath/2007/PartnerControls"/>
    <ds:schemaRef ds:uri="c55d25d2-0c3f-426a-83a4-d0cf64599e04"/>
    <ds:schemaRef ds:uri="b8d4d84c-c491-445f-b2d2-27f1e9ddc196"/>
  </ds:schemaRefs>
</ds:datastoreItem>
</file>

<file path=customXml/itemProps4.xml><?xml version="1.0" encoding="utf-8"?>
<ds:datastoreItem xmlns:ds="http://schemas.openxmlformats.org/officeDocument/2006/customXml" ds:itemID="{09438EE0-8882-4953-B1C5-21311005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6</Pages>
  <Words>2650</Words>
  <Characters>14469</Characters>
  <Application>Microsoft Office Word</Application>
  <DocSecurity>0</DocSecurity>
  <Lines>237</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Mercédez Roberge</dc:creator>
  <cp:keywords/>
  <dc:description/>
  <cp:lastModifiedBy>Mercédez Roberge</cp:lastModifiedBy>
  <cp:revision>47</cp:revision>
  <cp:lastPrinted>2025-12-27T00:02:00Z</cp:lastPrinted>
  <dcterms:created xsi:type="dcterms:W3CDTF">2026-01-02T23:20:00Z</dcterms:created>
  <dcterms:modified xsi:type="dcterms:W3CDTF">2026-01-03T17:27:00Z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0x010100A397643D1D4D9347AA0297DEEA93E74E</vt:lpwstr>
  </property>
  <property fmtid="{D5CDD505-2E9C-101B-9397-08002B2CF9AE}" pid="3" name="MediaServiceImageTags">
    <vt:lpwstr/>
  </property>
</Properties>
</file>